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3074" w:rsidRDefault="00000000">
      <w:pPr>
        <w:spacing w:after="60" w:line="240" w:lineRule="auto"/>
        <w:jc w:val="center"/>
        <w:rPr>
          <w:color w:val="38761D"/>
        </w:rPr>
      </w:pPr>
      <w:r>
        <w:rPr>
          <w:b/>
          <w:bCs/>
          <w:color w:val="38761D"/>
          <w:sz w:val="36"/>
          <w:szCs w:val="36"/>
        </w:rPr>
        <w:t>PROGRAMME DE BILAN DE COMPÉTENCES</w:t>
      </w:r>
    </w:p>
    <w:p w:rsidR="00A53074" w:rsidRDefault="00000000">
      <w:pPr>
        <w:spacing w:after="240" w:line="240" w:lineRule="auto"/>
        <w:jc w:val="center"/>
      </w:pPr>
      <w:r>
        <w:rPr>
          <w:i/>
          <w:iCs/>
          <w:color w:val="808080"/>
          <w:sz w:val="18"/>
          <w:szCs w:val="18"/>
        </w:rPr>
        <w:t>Action de développement des compétences – art. L.6313-1, 3° et R.6313-4 et suivants du Code du travail</w:t>
      </w:r>
    </w:p>
    <w:p w:rsidR="00A53074" w:rsidRDefault="00A53074">
      <w:pPr>
        <w:spacing w:after="120" w:line="240" w:lineRule="auto"/>
      </w:pP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1. Définition et objet</w:t>
      </w:r>
    </w:p>
    <w:p w:rsidR="00A53074" w:rsidRDefault="00000000">
      <w:pPr>
        <w:spacing w:after="120" w:line="240" w:lineRule="auto"/>
        <w:jc w:val="both"/>
      </w:pPr>
      <w:r>
        <w:t>Le bilan de compétences a pour objet de permettre au bénéficiaire d'analyser ses compétences professionnelles et personnelles ainsi que ses aptitudes, afin de définir un projet professionnel et, le cas échéant, un projet de formation (art. L.6313-4 du Code du travail).</w:t>
      </w:r>
    </w:p>
    <w:p w:rsidR="00A53074" w:rsidRDefault="00000000">
      <w:pPr>
        <w:spacing w:after="120" w:line="240" w:lineRule="auto"/>
        <w:jc w:val="both"/>
      </w:pPr>
      <w:r>
        <w:t>Il se déroule selon les trois phases obligatoires prévues à l'article R.6313-4 du Code du travail : une phase préliminaire, une phase d'investigation et une phase de conclusion. Il donne lieu à la remise d'un document de synthèse strictement confidentiel, propriété exclusive du bénéficiaire.</w:t>
      </w: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2. Public, prérequis et accessibilité</w:t>
      </w:r>
    </w:p>
    <w:p w:rsidR="00A53074" w:rsidRDefault="00000000">
      <w:pPr>
        <w:pStyle w:val="Titre2"/>
        <w:keepNext w:val="0"/>
        <w:keepLines w:val="0"/>
        <w:spacing w:before="180" w:after="100" w:line="240" w:lineRule="auto"/>
        <w:rPr>
          <w:b/>
          <w:bCs/>
          <w:color w:val="2E75B6"/>
          <w:sz w:val="24"/>
          <w:szCs w:val="24"/>
        </w:rPr>
      </w:pPr>
      <w:r>
        <w:rPr>
          <w:b/>
          <w:bCs/>
          <w:color w:val="2E75B6"/>
          <w:sz w:val="24"/>
          <w:szCs w:val="24"/>
        </w:rPr>
        <w:t>Public concerné</w:t>
      </w:r>
    </w:p>
    <w:p w:rsidR="00A53074" w:rsidRDefault="00000000">
      <w:pPr>
        <w:spacing w:after="120" w:line="240" w:lineRule="auto"/>
        <w:jc w:val="both"/>
      </w:pPr>
      <w:r>
        <w:t>Tout actif souhaitant faire le point sur sa situation professionnelle : salarié, demandeur d'emploi, travailleur indépendant, agent public. Le bilan est strictement individuel.</w:t>
      </w:r>
    </w:p>
    <w:p w:rsidR="00A53074" w:rsidRDefault="00000000">
      <w:pPr>
        <w:pStyle w:val="Titre2"/>
        <w:keepNext w:val="0"/>
        <w:keepLines w:val="0"/>
        <w:spacing w:before="180" w:after="100" w:line="240" w:lineRule="auto"/>
        <w:rPr>
          <w:b/>
          <w:bCs/>
          <w:color w:val="2E75B6"/>
          <w:sz w:val="24"/>
          <w:szCs w:val="24"/>
        </w:rPr>
      </w:pPr>
      <w:r>
        <w:rPr>
          <w:b/>
          <w:bCs/>
          <w:color w:val="2E75B6"/>
          <w:sz w:val="24"/>
          <w:szCs w:val="24"/>
        </w:rPr>
        <w:t>Prérequis</w:t>
      </w:r>
    </w:p>
    <w:p w:rsidR="00A53074" w:rsidRDefault="00000000">
      <w:pPr>
        <w:spacing w:after="120" w:line="240" w:lineRule="auto"/>
        <w:jc w:val="both"/>
      </w:pPr>
      <w:r>
        <w:t>Aucun prérequis de diplôme ou de niveau. Une démarche volontaire et le consentement du bénéficiaire sont indispensables ; aucun bilan ne peut être réalisé sans le consentement préalable de l'intéressé.</w:t>
      </w:r>
    </w:p>
    <w:p w:rsidR="00A53074" w:rsidRDefault="00000000">
      <w:pPr>
        <w:pStyle w:val="Titre2"/>
        <w:keepNext w:val="0"/>
        <w:keepLines w:val="0"/>
        <w:spacing w:before="180" w:after="100" w:line="240" w:lineRule="auto"/>
        <w:rPr>
          <w:b/>
          <w:bCs/>
          <w:color w:val="2E75B6"/>
          <w:sz w:val="24"/>
          <w:szCs w:val="24"/>
        </w:rPr>
      </w:pPr>
      <w:r>
        <w:rPr>
          <w:b/>
          <w:bCs/>
          <w:color w:val="2E75B6"/>
          <w:sz w:val="24"/>
          <w:szCs w:val="24"/>
        </w:rPr>
        <w:t>Accessibilité aux personnes en situation de handicap</w:t>
      </w:r>
    </w:p>
    <w:p w:rsidR="00A53074" w:rsidRDefault="00000000">
      <w:pPr>
        <w:spacing w:line="240" w:lineRule="auto"/>
      </w:pPr>
      <w:r>
        <w:t xml:space="preserve">L'accompagnement est accessible aux personnes en situation de handicap. Un référent handicap : Patrick </w:t>
      </w:r>
      <w:proofErr w:type="spellStart"/>
      <w:r>
        <w:t>mimoun</w:t>
      </w:r>
      <w:proofErr w:type="spellEnd"/>
      <w:r>
        <w:t xml:space="preserve"> - </w:t>
      </w:r>
      <w:hyperlink r:id="rId7">
        <w:r>
          <w:rPr>
            <w:color w:val="1155CC"/>
            <w:sz w:val="21"/>
            <w:szCs w:val="21"/>
            <w:highlight w:val="white"/>
            <w:u w:val="single"/>
          </w:rPr>
          <w:t>chezpmo@gmail.com</w:t>
        </w:r>
      </w:hyperlink>
      <w:r>
        <w:rPr>
          <w:color w:val="33475B"/>
          <w:sz w:val="21"/>
          <w:szCs w:val="21"/>
          <w:highlight w:val="white"/>
        </w:rPr>
        <w:t xml:space="preserve"> </w:t>
      </w:r>
      <w:proofErr w:type="gramStart"/>
      <w:r>
        <w:rPr>
          <w:color w:val="33475B"/>
          <w:sz w:val="21"/>
          <w:szCs w:val="21"/>
          <w:highlight w:val="white"/>
        </w:rPr>
        <w:t xml:space="preserve">- </w:t>
      </w:r>
      <w:r>
        <w:rPr>
          <w:rFonts w:ascii="Trebuchet MS" w:eastAsia="Trebuchet MS" w:hAnsi="Trebuchet MS" w:cs="Trebuchet MS"/>
          <w:sz w:val="20"/>
          <w:szCs w:val="20"/>
          <w:highlight w:val="white"/>
        </w:rPr>
        <w:t xml:space="preserve"> </w:t>
      </w:r>
      <w:r>
        <w:rPr>
          <w:rFonts w:ascii="Trebuchet MS" w:eastAsia="Trebuchet MS" w:hAnsi="Trebuchet MS" w:cs="Trebuchet MS"/>
          <w:sz w:val="20"/>
          <w:szCs w:val="20"/>
        </w:rPr>
        <w:t>06</w:t>
      </w:r>
      <w:proofErr w:type="gramEnd"/>
      <w:r>
        <w:rPr>
          <w:rFonts w:ascii="Trebuchet MS" w:eastAsia="Trebuchet MS" w:hAnsi="Trebuchet MS" w:cs="Trebuchet MS"/>
          <w:sz w:val="20"/>
          <w:szCs w:val="20"/>
        </w:rPr>
        <w:t xml:space="preserve"> 52 31 90 62</w:t>
      </w:r>
    </w:p>
    <w:p w:rsidR="00A53074" w:rsidRDefault="00000000">
      <w:pPr>
        <w:spacing w:line="240" w:lineRule="auto"/>
        <w:rPr>
          <w:sz w:val="20"/>
          <w:szCs w:val="20"/>
          <w:highlight w:val="white"/>
        </w:rPr>
      </w:pPr>
      <w:r>
        <w:rPr>
          <w:sz w:val="20"/>
          <w:szCs w:val="20"/>
        </w:rPr>
        <w:t xml:space="preserve"> </w:t>
      </w:r>
      <w:proofErr w:type="gramStart"/>
      <w:r>
        <w:t>étudie</w:t>
      </w:r>
      <w:proofErr w:type="gramEnd"/>
      <w:r>
        <w:t xml:space="preserve"> les besoins d'adaptation (rythme, supports, locaux accessibles, aménagements) et oriente le cas échéant vers les acteurs du réseau Ressources Handicap Formation (Agefiph / Cap emploi).</w:t>
      </w: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3. Objectifs</w:t>
      </w:r>
    </w:p>
    <w:p w:rsidR="00A53074" w:rsidRDefault="00000000">
      <w:pPr>
        <w:spacing w:after="120" w:line="240" w:lineRule="auto"/>
        <w:jc w:val="both"/>
      </w:pPr>
      <w:r>
        <w:t>Les objectifs du bilan sont structurés selon les trois phases obligatoires de la prestation.</w:t>
      </w:r>
    </w:p>
    <w:p w:rsidR="00A53074" w:rsidRDefault="00000000">
      <w:pPr>
        <w:pStyle w:val="Titre2"/>
        <w:keepNext w:val="0"/>
        <w:keepLines w:val="0"/>
        <w:spacing w:before="180" w:after="100" w:line="240" w:lineRule="auto"/>
        <w:rPr>
          <w:b/>
          <w:bCs/>
          <w:color w:val="2E75B6"/>
          <w:sz w:val="24"/>
          <w:szCs w:val="24"/>
        </w:rPr>
      </w:pPr>
      <w:r>
        <w:rPr>
          <w:b/>
          <w:bCs/>
          <w:color w:val="2E75B6"/>
          <w:sz w:val="24"/>
          <w:szCs w:val="24"/>
        </w:rPr>
        <w:t>Objectif final</w:t>
      </w:r>
    </w:p>
    <w:p w:rsidR="00A53074" w:rsidRDefault="00000000">
      <w:pPr>
        <w:spacing w:after="120" w:line="240" w:lineRule="auto"/>
        <w:jc w:val="both"/>
      </w:pPr>
      <w:r>
        <w:t>À l'issue du bilan, le bénéficiaire sera en mesure de définir un projet professionnel et d'en vérifier la pertinence, ou d'élaborer une ou plusieurs alternatives, fondé sur l'analyse de ses compétences et aptitudes professionnelles, et d'en prévoir les principales modalités et étapes de mise en œuvre, le cas échéant un projet de formation.</w:t>
      </w:r>
    </w:p>
    <w:p w:rsidR="00A53074" w:rsidRDefault="00A53074">
      <w:pPr>
        <w:spacing w:after="120" w:line="240" w:lineRule="auto"/>
        <w:jc w:val="both"/>
      </w:pPr>
    </w:p>
    <w:p w:rsidR="00A53074" w:rsidRDefault="00A53074">
      <w:pPr>
        <w:spacing w:after="120" w:line="240" w:lineRule="auto"/>
        <w:jc w:val="both"/>
      </w:pPr>
    </w:p>
    <w:p w:rsidR="00A53074" w:rsidRDefault="00000000">
      <w:pPr>
        <w:pStyle w:val="Titre2"/>
        <w:keepNext w:val="0"/>
        <w:keepLines w:val="0"/>
        <w:spacing w:before="180" w:after="100" w:line="240" w:lineRule="auto"/>
        <w:rPr>
          <w:b/>
          <w:bCs/>
          <w:color w:val="2E75B6"/>
          <w:sz w:val="24"/>
          <w:szCs w:val="24"/>
        </w:rPr>
      </w:pPr>
      <w:r>
        <w:rPr>
          <w:b/>
          <w:bCs/>
          <w:color w:val="2E75B6"/>
          <w:sz w:val="24"/>
          <w:szCs w:val="24"/>
        </w:rPr>
        <w:t>Objectifs intermédiaires</w:t>
      </w:r>
    </w:p>
    <w:p w:rsidR="00A53074" w:rsidRDefault="00000000">
      <w:pPr>
        <w:spacing w:after="120" w:line="240" w:lineRule="auto"/>
        <w:jc w:val="both"/>
      </w:pPr>
      <w:r>
        <w:rPr>
          <w:b/>
          <w:bCs/>
        </w:rPr>
        <w:t>Phase préliminaire — cette phase a pour objet de :</w:t>
      </w:r>
    </w:p>
    <w:p w:rsidR="00A53074" w:rsidRDefault="00000000">
      <w:pPr>
        <w:numPr>
          <w:ilvl w:val="0"/>
          <w:numId w:val="1"/>
        </w:numPr>
        <w:spacing w:after="60" w:line="240" w:lineRule="auto"/>
      </w:pPr>
      <w:r>
        <w:lastRenderedPageBreak/>
        <w:t>Analyser la demande et le besoin du bénéficiaire.</w:t>
      </w:r>
    </w:p>
    <w:p w:rsidR="00A53074" w:rsidRDefault="00000000">
      <w:pPr>
        <w:numPr>
          <w:ilvl w:val="0"/>
          <w:numId w:val="1"/>
        </w:numPr>
        <w:spacing w:after="60" w:line="240" w:lineRule="auto"/>
      </w:pPr>
      <w:r>
        <w:t>Déterminer le format le plus adapté à la situation et au besoin.</w:t>
      </w:r>
    </w:p>
    <w:p w:rsidR="00A53074" w:rsidRDefault="00000000">
      <w:pPr>
        <w:numPr>
          <w:ilvl w:val="0"/>
          <w:numId w:val="1"/>
        </w:numPr>
        <w:spacing w:after="60" w:line="240" w:lineRule="auto"/>
      </w:pPr>
      <w:r>
        <w:t>Définir conjointement les modalités de déroulement du bilan.</w:t>
      </w:r>
    </w:p>
    <w:p w:rsidR="00A53074" w:rsidRDefault="00000000">
      <w:pPr>
        <w:spacing w:after="120" w:line="240" w:lineRule="auto"/>
        <w:jc w:val="both"/>
      </w:pPr>
      <w:r>
        <w:rPr>
          <w:b/>
          <w:bCs/>
        </w:rPr>
        <w:t>Phase d'investigation — cette phase permet au bénéficiaire :</w:t>
      </w:r>
    </w:p>
    <w:p w:rsidR="00A53074" w:rsidRDefault="00000000">
      <w:pPr>
        <w:numPr>
          <w:ilvl w:val="0"/>
          <w:numId w:val="1"/>
        </w:numPr>
        <w:spacing w:after="60" w:line="240" w:lineRule="auto"/>
      </w:pPr>
      <w:r>
        <w:t>Soit de construire son projet professionnel et d'en vérifier la pertinence.</w:t>
      </w:r>
    </w:p>
    <w:p w:rsidR="00A53074" w:rsidRDefault="00000000">
      <w:pPr>
        <w:numPr>
          <w:ilvl w:val="0"/>
          <w:numId w:val="1"/>
        </w:numPr>
        <w:spacing w:after="60" w:line="240" w:lineRule="auto"/>
      </w:pPr>
      <w:r>
        <w:t>Soit d'élaborer une ou plusieurs alternatives.</w:t>
      </w:r>
    </w:p>
    <w:p w:rsidR="00A53074" w:rsidRDefault="00000000">
      <w:pPr>
        <w:spacing w:after="120" w:line="240" w:lineRule="auto"/>
        <w:jc w:val="both"/>
      </w:pPr>
      <w:r>
        <w:rPr>
          <w:b/>
          <w:bCs/>
        </w:rPr>
        <w:t>Phase de conclusion — par la voie d'entretiens personnalisés, cette phase permet au bénéficiaire de :</w:t>
      </w:r>
    </w:p>
    <w:p w:rsidR="00A53074" w:rsidRDefault="00000000">
      <w:pPr>
        <w:numPr>
          <w:ilvl w:val="0"/>
          <w:numId w:val="1"/>
        </w:numPr>
        <w:spacing w:after="60" w:line="240" w:lineRule="auto"/>
      </w:pPr>
      <w:r>
        <w:t>S'approprier les résultats détaillés de la phase d'investigation.</w:t>
      </w:r>
    </w:p>
    <w:p w:rsidR="00A53074" w:rsidRDefault="00000000">
      <w:pPr>
        <w:numPr>
          <w:ilvl w:val="0"/>
          <w:numId w:val="1"/>
        </w:numPr>
        <w:spacing w:after="60" w:line="240" w:lineRule="auto"/>
      </w:pPr>
      <w:r>
        <w:t>Recenser les conditions et moyens favorisant la réalisation du ou des projets professionnels.</w:t>
      </w:r>
    </w:p>
    <w:p w:rsidR="00A53074" w:rsidRDefault="00000000">
      <w:pPr>
        <w:numPr>
          <w:ilvl w:val="0"/>
          <w:numId w:val="1"/>
        </w:numPr>
        <w:spacing w:after="60" w:line="240" w:lineRule="auto"/>
      </w:pPr>
      <w:r>
        <w:t>Prévoir les principales modalités et étapes du ou des projets professionnels, dont la possibilité de bénéficier d'un entretien de suivi avec le prestataire.</w:t>
      </w: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4. Tarif, contact, Durée et organisation</w:t>
      </w:r>
    </w:p>
    <w:p w:rsidR="00A53074" w:rsidRDefault="00000000">
      <w:pPr>
        <w:pStyle w:val="Titre2"/>
        <w:keepNext w:val="0"/>
        <w:keepLines w:val="0"/>
        <w:spacing w:before="180" w:after="100" w:line="240" w:lineRule="auto"/>
        <w:rPr>
          <w:b/>
          <w:bCs/>
          <w:color w:val="2E75B6"/>
          <w:sz w:val="24"/>
          <w:szCs w:val="24"/>
        </w:rPr>
      </w:pPr>
      <w:bookmarkStart w:id="0" w:name="_9euajj9yq1jh" w:colFirst="0" w:colLast="0"/>
      <w:bookmarkEnd w:id="0"/>
      <w:r>
        <w:rPr>
          <w:b/>
          <w:bCs/>
          <w:color w:val="2E75B6"/>
          <w:sz w:val="24"/>
          <w:szCs w:val="24"/>
        </w:rPr>
        <w:t xml:space="preserve">Tarif : </w:t>
      </w:r>
    </w:p>
    <w:p w:rsidR="00A53074" w:rsidRDefault="00000000">
      <w:pPr>
        <w:spacing w:line="240" w:lineRule="auto"/>
        <w:jc w:val="both"/>
        <w:rPr>
          <w:i/>
          <w:iCs/>
          <w:sz w:val="24"/>
          <w:szCs w:val="24"/>
        </w:rPr>
      </w:pPr>
      <w:r>
        <w:t xml:space="preserve">Par bénéficiaire : </w:t>
      </w:r>
      <w:proofErr w:type="gramStart"/>
      <w:r>
        <w:t>1200  €</w:t>
      </w:r>
      <w:proofErr w:type="gramEnd"/>
      <w:r>
        <w:t xml:space="preserve"> Net de taxe (TVA non applicable, art. 261.4° du CGI) </w:t>
      </w:r>
    </w:p>
    <w:p w:rsidR="00A53074" w:rsidRDefault="00A53074">
      <w:pPr>
        <w:spacing w:after="120" w:line="240" w:lineRule="auto"/>
        <w:jc w:val="both"/>
        <w:rPr>
          <w:highlight w:val="white"/>
        </w:rPr>
      </w:pPr>
    </w:p>
    <w:p w:rsidR="00A53074" w:rsidRDefault="00000000">
      <w:pPr>
        <w:spacing w:after="120" w:line="240" w:lineRule="auto"/>
        <w:jc w:val="both"/>
        <w:rPr>
          <w:highlight w:val="white"/>
        </w:rPr>
      </w:pPr>
      <w:r>
        <w:rPr>
          <w:b/>
          <w:bCs/>
          <w:color w:val="2E75B6"/>
          <w:sz w:val="24"/>
          <w:szCs w:val="24"/>
          <w:highlight w:val="white"/>
        </w:rPr>
        <w:t>Format :</w:t>
      </w:r>
      <w:r>
        <w:rPr>
          <w:highlight w:val="white"/>
        </w:rPr>
        <w:t xml:space="preserve"> Présentiel </w:t>
      </w:r>
    </w:p>
    <w:p w:rsidR="00A53074" w:rsidRDefault="00000000">
      <w:pPr>
        <w:spacing w:after="120" w:line="240" w:lineRule="auto"/>
        <w:jc w:val="both"/>
        <w:rPr>
          <w:highlight w:val="white"/>
        </w:rPr>
      </w:pPr>
      <w:r>
        <w:rPr>
          <w:highlight w:val="white"/>
        </w:rPr>
        <w:t xml:space="preserve">Adresse : </w:t>
      </w:r>
      <w:r>
        <w:rPr>
          <w:rFonts w:ascii="Trebuchet MS" w:eastAsia="Trebuchet MS" w:hAnsi="Trebuchet MS" w:cs="Trebuchet MS"/>
          <w:sz w:val="20"/>
          <w:szCs w:val="20"/>
          <w:highlight w:val="white"/>
        </w:rPr>
        <w:t>41 quai de L'Oise, - 75019 Paris</w:t>
      </w:r>
    </w:p>
    <w:p w:rsidR="00A53074" w:rsidRDefault="00A53074">
      <w:pPr>
        <w:spacing w:after="120" w:line="240" w:lineRule="auto"/>
        <w:jc w:val="both"/>
      </w:pPr>
    </w:p>
    <w:p w:rsidR="00A53074" w:rsidRDefault="00000000">
      <w:pPr>
        <w:spacing w:after="240" w:line="240" w:lineRule="auto"/>
        <w:rPr>
          <w:sz w:val="20"/>
          <w:szCs w:val="20"/>
        </w:rPr>
      </w:pPr>
      <w:r>
        <w:rPr>
          <w:sz w:val="20"/>
          <w:szCs w:val="20"/>
        </w:rPr>
        <w:t>Espace adapté au bilan, de concentration et de discrétion.</w:t>
      </w:r>
    </w:p>
    <w:p w:rsidR="00A53074" w:rsidRDefault="00A53074">
      <w:pPr>
        <w:spacing w:after="120" w:line="240" w:lineRule="auto"/>
        <w:jc w:val="both"/>
      </w:pPr>
    </w:p>
    <w:p w:rsidR="00A53074" w:rsidRDefault="00000000">
      <w:pPr>
        <w:spacing w:after="120" w:line="240" w:lineRule="auto"/>
        <w:jc w:val="both"/>
        <w:rPr>
          <w:color w:val="33475B"/>
          <w:sz w:val="21"/>
          <w:szCs w:val="21"/>
          <w:highlight w:val="white"/>
        </w:rPr>
      </w:pPr>
      <w:r>
        <w:rPr>
          <w:b/>
          <w:bCs/>
          <w:color w:val="2E75B6"/>
          <w:sz w:val="24"/>
          <w:szCs w:val="24"/>
        </w:rPr>
        <w:t>Contact</w:t>
      </w:r>
      <w:proofErr w:type="gramStart"/>
      <w:r>
        <w:rPr>
          <w:b/>
          <w:bCs/>
          <w:color w:val="2E75B6"/>
          <w:sz w:val="24"/>
          <w:szCs w:val="24"/>
        </w:rPr>
        <w:t xml:space="preserve"> :</w:t>
      </w:r>
      <w:r>
        <w:rPr>
          <w:rFonts w:ascii="Trebuchet MS" w:eastAsia="Trebuchet MS" w:hAnsi="Trebuchet MS" w:cs="Trebuchet MS"/>
          <w:sz w:val="20"/>
          <w:szCs w:val="20"/>
          <w:highlight w:val="white"/>
        </w:rPr>
        <w:t>Patrick</w:t>
      </w:r>
      <w:proofErr w:type="gramEnd"/>
      <w:r>
        <w:rPr>
          <w:rFonts w:ascii="Trebuchet MS" w:eastAsia="Trebuchet MS" w:hAnsi="Trebuchet MS" w:cs="Trebuchet MS"/>
          <w:sz w:val="20"/>
          <w:szCs w:val="20"/>
          <w:highlight w:val="white"/>
        </w:rPr>
        <w:t xml:space="preserve"> Mimoun</w:t>
      </w:r>
      <w:r>
        <w:rPr>
          <w:b/>
          <w:bCs/>
          <w:color w:val="2E75B6"/>
          <w:sz w:val="24"/>
          <w:szCs w:val="24"/>
        </w:rPr>
        <w:t xml:space="preserve"> </w:t>
      </w:r>
      <w:r>
        <w:rPr>
          <w:b/>
          <w:bCs/>
          <w:sz w:val="20"/>
          <w:szCs w:val="20"/>
        </w:rPr>
        <w:t xml:space="preserve">– </w:t>
      </w:r>
      <w:r>
        <w:t xml:space="preserve"> </w:t>
      </w:r>
      <w:proofErr w:type="spellStart"/>
      <w:r>
        <w:rPr>
          <w:sz w:val="20"/>
          <w:szCs w:val="20"/>
        </w:rPr>
        <w:t>Tél</w:t>
      </w:r>
      <w:proofErr w:type="spellEnd"/>
      <w:r>
        <w:rPr>
          <w:sz w:val="20"/>
          <w:szCs w:val="20"/>
        </w:rPr>
        <w:t xml:space="preserve"> : </w:t>
      </w:r>
      <w:r>
        <w:rPr>
          <w:rFonts w:ascii="Trebuchet MS" w:eastAsia="Trebuchet MS" w:hAnsi="Trebuchet MS" w:cs="Trebuchet MS"/>
          <w:sz w:val="20"/>
          <w:szCs w:val="20"/>
        </w:rPr>
        <w:t>06 52 31 90 62</w:t>
      </w:r>
      <w:r>
        <w:rPr>
          <w:sz w:val="20"/>
          <w:szCs w:val="20"/>
        </w:rPr>
        <w:tab/>
        <w:t xml:space="preserve">– Email : </w:t>
      </w:r>
      <w:hyperlink r:id="rId8">
        <w:r>
          <w:rPr>
            <w:color w:val="1155CC"/>
            <w:sz w:val="21"/>
            <w:szCs w:val="21"/>
            <w:highlight w:val="white"/>
            <w:u w:val="single"/>
          </w:rPr>
          <w:t>chezpmo@gmail.com</w:t>
        </w:r>
      </w:hyperlink>
      <w:r>
        <w:rPr>
          <w:color w:val="33475B"/>
          <w:sz w:val="21"/>
          <w:szCs w:val="21"/>
          <w:highlight w:val="white"/>
        </w:rPr>
        <w:t xml:space="preserve"> </w:t>
      </w:r>
    </w:p>
    <w:p w:rsidR="00A53074" w:rsidRDefault="00000000">
      <w:pPr>
        <w:spacing w:after="120" w:line="240" w:lineRule="auto"/>
        <w:jc w:val="both"/>
      </w:pPr>
      <w:r>
        <w:rPr>
          <w:b/>
          <w:bCs/>
          <w:color w:val="2E75B6"/>
          <w:sz w:val="24"/>
          <w:szCs w:val="24"/>
        </w:rPr>
        <w:t>Durée : 14h</w:t>
      </w:r>
    </w:p>
    <w:p w:rsidR="00A53074" w:rsidRDefault="00000000">
      <w:pPr>
        <w:spacing w:after="120" w:line="240" w:lineRule="auto"/>
        <w:jc w:val="both"/>
      </w:pPr>
      <w:r>
        <w:t>Le bilan se déroule sur 14 heures d'accompagnement, hors entretien préalable d'information (gratuit et sans engagement). Les séances sont espacées dans le temps afin de laisser au bénéficiaire le temps de la réflexion. La durée totale du parcours s'étend généralement sur 6 à 10 semaines.</w:t>
      </w: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0"/>
        <w:gridCol w:w="4680"/>
        <w:gridCol w:w="1560"/>
      </w:tblGrid>
      <w:tr w:rsidR="00A53074">
        <w:trPr>
          <w:tblHeader/>
        </w:trPr>
        <w:tc>
          <w:tcPr>
            <w:tcW w:w="3120" w:type="dxa"/>
            <w:tcBorders>
              <w:top w:val="single" w:sz="4" w:space="0" w:color="BFBFBF"/>
              <w:left w:val="single" w:sz="4" w:space="0" w:color="BFBFBF"/>
              <w:bottom w:val="single" w:sz="4" w:space="0" w:color="BFBFBF"/>
              <w:right w:val="single" w:sz="4" w:space="0" w:color="BFBFBF"/>
            </w:tcBorders>
            <w:shd w:val="clear" w:color="auto" w:fill="D9EAD3"/>
            <w:tcMar>
              <w:top w:w="80" w:type="dxa"/>
              <w:left w:w="120" w:type="dxa"/>
              <w:bottom w:w="80" w:type="dxa"/>
              <w:right w:w="120" w:type="dxa"/>
            </w:tcMar>
            <w:vAlign w:val="center"/>
          </w:tcPr>
          <w:p w:rsidR="00A53074" w:rsidRDefault="00000000">
            <w:pPr>
              <w:spacing w:line="240" w:lineRule="auto"/>
              <w:jc w:val="center"/>
            </w:pPr>
            <w:r>
              <w:rPr>
                <w:b/>
                <w:bCs/>
                <w:color w:val="FFFFFF"/>
              </w:rPr>
              <w:t>Phase</w:t>
            </w:r>
          </w:p>
        </w:tc>
        <w:tc>
          <w:tcPr>
            <w:tcW w:w="4680" w:type="dxa"/>
            <w:tcBorders>
              <w:top w:val="single" w:sz="4" w:space="0" w:color="BFBFBF"/>
              <w:left w:val="single" w:sz="4" w:space="0" w:color="BFBFBF"/>
              <w:bottom w:val="single" w:sz="4" w:space="0" w:color="BFBFBF"/>
              <w:right w:val="single" w:sz="4" w:space="0" w:color="BFBFBF"/>
            </w:tcBorders>
            <w:shd w:val="clear" w:color="auto" w:fill="D9EAD3"/>
            <w:tcMar>
              <w:top w:w="80" w:type="dxa"/>
              <w:left w:w="120" w:type="dxa"/>
              <w:bottom w:w="80" w:type="dxa"/>
              <w:right w:w="120" w:type="dxa"/>
            </w:tcMar>
            <w:vAlign w:val="center"/>
          </w:tcPr>
          <w:p w:rsidR="00A53074" w:rsidRDefault="00000000">
            <w:pPr>
              <w:spacing w:line="240" w:lineRule="auto"/>
              <w:jc w:val="center"/>
            </w:pPr>
            <w:r>
              <w:rPr>
                <w:b/>
                <w:bCs/>
                <w:color w:val="FFFFFF"/>
              </w:rPr>
              <w:t>Objet</w:t>
            </w:r>
          </w:p>
        </w:tc>
        <w:tc>
          <w:tcPr>
            <w:tcW w:w="1560" w:type="dxa"/>
            <w:tcBorders>
              <w:top w:val="single" w:sz="4" w:space="0" w:color="BFBFBF"/>
              <w:left w:val="single" w:sz="4" w:space="0" w:color="BFBFBF"/>
              <w:bottom w:val="single" w:sz="4" w:space="0" w:color="BFBFBF"/>
              <w:right w:val="single" w:sz="4" w:space="0" w:color="BFBFBF"/>
            </w:tcBorders>
            <w:shd w:val="clear" w:color="auto" w:fill="D9EAD3"/>
            <w:tcMar>
              <w:top w:w="80" w:type="dxa"/>
              <w:left w:w="120" w:type="dxa"/>
              <w:bottom w:w="80" w:type="dxa"/>
              <w:right w:w="120" w:type="dxa"/>
            </w:tcMar>
            <w:vAlign w:val="center"/>
          </w:tcPr>
          <w:p w:rsidR="00A53074" w:rsidRDefault="00000000">
            <w:pPr>
              <w:spacing w:line="240" w:lineRule="auto"/>
              <w:jc w:val="center"/>
            </w:pPr>
            <w:r>
              <w:rPr>
                <w:b/>
                <w:bCs/>
                <w:color w:val="FFFFFF"/>
              </w:rPr>
              <w:t>Durée</w:t>
            </w:r>
          </w:p>
        </w:tc>
      </w:tr>
      <w:tr w:rsidR="00A53074">
        <w:tc>
          <w:tcPr>
            <w:tcW w:w="312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pPr>
            <w:r>
              <w:rPr>
                <w:b/>
                <w:bCs/>
              </w:rPr>
              <w:t>Entretien préalable</w:t>
            </w:r>
          </w:p>
        </w:tc>
        <w:tc>
          <w:tcPr>
            <w:tcW w:w="468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pPr>
            <w:r>
              <w:t xml:space="preserve">Information, analyse de la demande, présentation des conditions de déroulement et co-construction du parcours. </w:t>
            </w:r>
          </w:p>
          <w:p w:rsidR="00A53074" w:rsidRDefault="00000000">
            <w:pPr>
              <w:spacing w:line="240" w:lineRule="auto"/>
            </w:pPr>
            <w:r>
              <w:t>Gratuit et sans engagement.</w:t>
            </w:r>
          </w:p>
        </w:tc>
        <w:tc>
          <w:tcPr>
            <w:tcW w:w="156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jc w:val="center"/>
            </w:pPr>
            <w:r>
              <w:rPr>
                <w:b/>
                <w:bCs/>
              </w:rPr>
              <w:t>Hors 14 h</w:t>
            </w:r>
          </w:p>
        </w:tc>
      </w:tr>
      <w:tr w:rsidR="00A53074">
        <w:tc>
          <w:tcPr>
            <w:tcW w:w="312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t>Phase préliminaire</w:t>
            </w:r>
          </w:p>
        </w:tc>
        <w:tc>
          <w:tcPr>
            <w:tcW w:w="46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Analyser la demande et le besoin du bénéficiaire ; déterminer le format le plus adapté à la situation et au besoin ; définir conjointement les modalités de déroulement du bilan.</w:t>
            </w:r>
          </w:p>
        </w:tc>
        <w:tc>
          <w:tcPr>
            <w:tcW w:w="15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2 h</w:t>
            </w:r>
          </w:p>
        </w:tc>
      </w:tr>
      <w:tr w:rsidR="00A53074">
        <w:tc>
          <w:tcPr>
            <w:tcW w:w="312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lastRenderedPageBreak/>
              <w:t>Phase d'investigation</w:t>
            </w:r>
          </w:p>
        </w:tc>
        <w:tc>
          <w:tcPr>
            <w:tcW w:w="46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Permettre au bénéficiaire soit de construire son projet professionnel et d'en vérifier la pertinence, soit d'élaborer une ou plusieurs alternatives.</w:t>
            </w:r>
          </w:p>
        </w:tc>
        <w:tc>
          <w:tcPr>
            <w:tcW w:w="15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9 h</w:t>
            </w:r>
          </w:p>
        </w:tc>
      </w:tr>
      <w:tr w:rsidR="00A53074">
        <w:tc>
          <w:tcPr>
            <w:tcW w:w="312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t>Phase de conclusion</w:t>
            </w:r>
          </w:p>
        </w:tc>
        <w:tc>
          <w:tcPr>
            <w:tcW w:w="46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Par la voie d'entretiens personnalisés : s'approprier les résultats détaillés de la phase d'investigation ; recenser les conditions et moyens favorisant la réalisation du ou des projets ; prévoir les principales modalités et étapes du ou des projets, dont la possibilité d'un entretien de suivi.</w:t>
            </w:r>
          </w:p>
        </w:tc>
        <w:tc>
          <w:tcPr>
            <w:tcW w:w="15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3 h</w:t>
            </w:r>
          </w:p>
        </w:tc>
      </w:tr>
      <w:tr w:rsidR="00A53074">
        <w:tc>
          <w:tcPr>
            <w:tcW w:w="3120" w:type="dxa"/>
            <w:tcBorders>
              <w:top w:val="single" w:sz="4" w:space="0" w:color="BFBFBF"/>
              <w:left w:val="single" w:sz="4" w:space="0" w:color="BFBFBF"/>
              <w:bottom w:val="single" w:sz="4" w:space="0" w:color="BFBFBF"/>
              <w:right w:val="single" w:sz="4" w:space="0" w:color="BFBFBF"/>
            </w:tcBorders>
            <w:shd w:val="clear" w:color="auto" w:fill="D5E8F0"/>
            <w:tcMar>
              <w:top w:w="80" w:type="dxa"/>
              <w:left w:w="120" w:type="dxa"/>
              <w:bottom w:w="80" w:type="dxa"/>
              <w:right w:w="120" w:type="dxa"/>
            </w:tcMar>
            <w:vAlign w:val="center"/>
          </w:tcPr>
          <w:p w:rsidR="00A53074" w:rsidRDefault="00000000">
            <w:pPr>
              <w:spacing w:line="240" w:lineRule="auto"/>
            </w:pPr>
            <w:r>
              <w:rPr>
                <w:b/>
                <w:bCs/>
              </w:rPr>
              <w:t>TOTAL accompagnement</w:t>
            </w:r>
          </w:p>
        </w:tc>
        <w:tc>
          <w:tcPr>
            <w:tcW w:w="4680" w:type="dxa"/>
            <w:tcBorders>
              <w:top w:val="single" w:sz="4" w:space="0" w:color="BFBFBF"/>
              <w:left w:val="single" w:sz="4" w:space="0" w:color="BFBFBF"/>
              <w:bottom w:val="single" w:sz="4" w:space="0" w:color="BFBFBF"/>
              <w:right w:val="single" w:sz="4" w:space="0" w:color="BFBFBF"/>
            </w:tcBorders>
            <w:shd w:val="clear" w:color="auto" w:fill="D5E8F0"/>
            <w:tcMar>
              <w:top w:w="80" w:type="dxa"/>
              <w:left w:w="120" w:type="dxa"/>
              <w:bottom w:w="80" w:type="dxa"/>
              <w:right w:w="120" w:type="dxa"/>
            </w:tcMar>
            <w:vAlign w:val="center"/>
          </w:tcPr>
          <w:p w:rsidR="00A53074" w:rsidRDefault="00000000">
            <w:pPr>
              <w:spacing w:line="240" w:lineRule="auto"/>
            </w:pPr>
            <w:r>
              <w:t>Hors entretien préalable</w:t>
            </w:r>
          </w:p>
        </w:tc>
        <w:tc>
          <w:tcPr>
            <w:tcW w:w="1560" w:type="dxa"/>
            <w:tcBorders>
              <w:top w:val="single" w:sz="4" w:space="0" w:color="BFBFBF"/>
              <w:left w:val="single" w:sz="4" w:space="0" w:color="BFBFBF"/>
              <w:bottom w:val="single" w:sz="4" w:space="0" w:color="BFBFBF"/>
              <w:right w:val="single" w:sz="4" w:space="0" w:color="BFBFBF"/>
            </w:tcBorders>
            <w:shd w:val="clear" w:color="auto" w:fill="D5E8F0"/>
            <w:tcMar>
              <w:top w:w="80" w:type="dxa"/>
              <w:left w:w="120" w:type="dxa"/>
              <w:bottom w:w="80" w:type="dxa"/>
              <w:right w:w="120" w:type="dxa"/>
            </w:tcMar>
            <w:vAlign w:val="center"/>
          </w:tcPr>
          <w:p w:rsidR="00A53074" w:rsidRDefault="00000000">
            <w:pPr>
              <w:spacing w:line="240" w:lineRule="auto"/>
              <w:jc w:val="center"/>
            </w:pPr>
            <w:r>
              <w:rPr>
                <w:b/>
                <w:bCs/>
              </w:rPr>
              <w:t>14 h</w:t>
            </w:r>
          </w:p>
        </w:tc>
      </w:tr>
    </w:tbl>
    <w:p w:rsidR="00A53074" w:rsidRDefault="00A53074">
      <w:pPr>
        <w:spacing w:after="120" w:line="240" w:lineRule="auto"/>
      </w:pP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5. Moyens pédagogiques, techniques et d'encadrement</w:t>
      </w:r>
    </w:p>
    <w:p w:rsidR="00A53074" w:rsidRDefault="00000000">
      <w:pPr>
        <w:numPr>
          <w:ilvl w:val="0"/>
          <w:numId w:val="1"/>
        </w:numPr>
        <w:spacing w:after="60" w:line="240" w:lineRule="auto"/>
      </w:pPr>
      <w:r>
        <w:t>Entretiens individuels conduits par un consultant qualifié en accompagnement de l'évolution professionnelle.</w:t>
      </w:r>
    </w:p>
    <w:p w:rsidR="00A53074" w:rsidRDefault="00000000">
      <w:pPr>
        <w:numPr>
          <w:ilvl w:val="0"/>
          <w:numId w:val="1"/>
        </w:numPr>
        <w:spacing w:after="60" w:line="240" w:lineRule="auto"/>
      </w:pPr>
      <w:r>
        <w:t>Outils et questionnaires d'analyse des compétences et des aptitudes, débriefés systématiquement.</w:t>
      </w:r>
    </w:p>
    <w:p w:rsidR="00A53074" w:rsidRDefault="00000000">
      <w:pPr>
        <w:numPr>
          <w:ilvl w:val="0"/>
          <w:numId w:val="1"/>
        </w:numPr>
        <w:spacing w:after="60" w:line="240" w:lineRule="auto"/>
      </w:pPr>
      <w:r>
        <w:t>Supports d'enquête-métier et fiches ressources (ROME, France Travail, fiches métiers et formations).</w:t>
      </w:r>
    </w:p>
    <w:p w:rsidR="00A53074" w:rsidRDefault="00000000">
      <w:pPr>
        <w:numPr>
          <w:ilvl w:val="0"/>
          <w:numId w:val="1"/>
        </w:numPr>
        <w:spacing w:after="60" w:line="240" w:lineRule="auto"/>
      </w:pPr>
      <w:r>
        <w:t>Outils numériques sécurisés pour les séances à distance synchrones (le cas échéant).</w:t>
      </w:r>
    </w:p>
    <w:p w:rsidR="00A53074" w:rsidRDefault="00000000">
      <w:pPr>
        <w:numPr>
          <w:ilvl w:val="0"/>
          <w:numId w:val="1"/>
        </w:numPr>
        <w:spacing w:after="60" w:line="240" w:lineRule="auto"/>
      </w:pPr>
      <w:r>
        <w:t>Salle dédiée garantissant confidentialité et accessibilité pour les séances en présentiel.</w:t>
      </w: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6. Modalités d'évaluation et de suivi</w:t>
      </w:r>
    </w:p>
    <w:p w:rsidR="00A53074" w:rsidRDefault="00000000">
      <w:pPr>
        <w:spacing w:after="120" w:line="240" w:lineRule="auto"/>
        <w:jc w:val="both"/>
      </w:pPr>
      <w:r>
        <w:t xml:space="preserve">La progression est appréciée en continu au regard des objectifs </w:t>
      </w:r>
      <w:proofErr w:type="spellStart"/>
      <w:r>
        <w:t>co-construits</w:t>
      </w:r>
      <w:proofErr w:type="spellEnd"/>
      <w:r>
        <w:t xml:space="preserve">. La phase de conclusion donne lieu à un document de synthèse </w:t>
      </w:r>
      <w:proofErr w:type="spellStart"/>
      <w:r>
        <w:t>co</w:t>
      </w:r>
      <w:proofErr w:type="spellEnd"/>
      <w:r>
        <w:t>-élaboré, reprenant les circonstances du bilan, les compétences et aptitudes identifiées au regard du projet, ainsi que les étapes de mise en œuvre du projet.</w:t>
      </w:r>
    </w:p>
    <w:p w:rsidR="00A53074" w:rsidRDefault="00000000">
      <w:pPr>
        <w:spacing w:after="120" w:line="240" w:lineRule="auto"/>
        <w:jc w:val="both"/>
      </w:pPr>
      <w:r>
        <w:t>Une évaluation de la satisfaction du bénéficiaire est réalisée à l'issue de l'accompagnement. Un entretien de suivi est prévu six mois après la fin du bilan.</w:t>
      </w: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7. Confidentialité et déontologie</w:t>
      </w:r>
    </w:p>
    <w:p w:rsidR="00A53074" w:rsidRDefault="00000000">
      <w:pPr>
        <w:numPr>
          <w:ilvl w:val="0"/>
          <w:numId w:val="1"/>
        </w:numPr>
        <w:spacing w:after="60" w:line="240" w:lineRule="auto"/>
      </w:pPr>
      <w:r>
        <w:t>Le bénéficiaire est seul destinataire des résultats détaillés et du document de synthèse ; ils ne peuvent être communiqués à un tiers qu'avec son accord.</w:t>
      </w:r>
    </w:p>
    <w:p w:rsidR="00A53074" w:rsidRDefault="00000000">
      <w:pPr>
        <w:numPr>
          <w:ilvl w:val="0"/>
          <w:numId w:val="1"/>
        </w:numPr>
        <w:spacing w:after="60" w:line="240" w:lineRule="auto"/>
      </w:pPr>
      <w:r>
        <w:t>Les informations demandées présentent un lien direct et nécessaire avec l'objet du bilan ; le bénéficiaire est tenu d'y répondre de bonne foi.</w:t>
      </w:r>
    </w:p>
    <w:p w:rsidR="00A53074" w:rsidRDefault="00000000">
      <w:pPr>
        <w:numPr>
          <w:ilvl w:val="0"/>
          <w:numId w:val="1"/>
        </w:numPr>
        <w:spacing w:after="60" w:line="240" w:lineRule="auto"/>
      </w:pPr>
      <w:r>
        <w:t>Le consultant est tenu au secret professionnel et à une stricte neutralité.</w:t>
      </w:r>
    </w:p>
    <w:p w:rsidR="00A53074" w:rsidRDefault="00000000">
      <w:pPr>
        <w:numPr>
          <w:ilvl w:val="0"/>
          <w:numId w:val="1"/>
        </w:numPr>
        <w:spacing w:after="60" w:line="240" w:lineRule="auto"/>
      </w:pPr>
      <w:r>
        <w:lastRenderedPageBreak/>
        <w:t>Les documents élaborés sont détruits à l'issue du bilan, sauf demande écrite du bénéficiaire de les conserver (dans la limite d'un an).</w:t>
      </w:r>
    </w:p>
    <w:p w:rsidR="00A53074" w:rsidRDefault="00000000">
      <w:pPr>
        <w:numPr>
          <w:ilvl w:val="0"/>
          <w:numId w:val="1"/>
        </w:numPr>
        <w:spacing w:after="60" w:line="240" w:lineRule="auto"/>
      </w:pPr>
      <w:r>
        <w:t>Traitement des données conforme au RGPD ; droit d'accès, de rectification et de suppression.</w:t>
      </w: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 xml:space="preserve">8. Modalités, délais d'accès </w:t>
      </w:r>
    </w:p>
    <w:p w:rsidR="00A53074" w:rsidRDefault="00000000">
      <w:pPr>
        <w:spacing w:after="120" w:line="240" w:lineRule="auto"/>
        <w:jc w:val="both"/>
      </w:pPr>
      <w:r>
        <w:t>Après un premier contact téléphonique, un premier entretien d’accueil (gratuit et sans</w:t>
      </w:r>
    </w:p>
    <w:p w:rsidR="00A53074" w:rsidRDefault="00000000">
      <w:pPr>
        <w:spacing w:after="120" w:line="240" w:lineRule="auto"/>
        <w:jc w:val="both"/>
        <w:rPr>
          <w:b/>
          <w:bCs/>
        </w:rPr>
      </w:pPr>
      <w:proofErr w:type="gramStart"/>
      <w:r>
        <w:t>engagement</w:t>
      </w:r>
      <w:proofErr w:type="gramEnd"/>
      <w:r>
        <w:t xml:space="preserve">) est proposé à la suite du premier contact téléphonique. </w:t>
      </w:r>
    </w:p>
    <w:p w:rsidR="00A53074" w:rsidRDefault="00000000">
      <w:pPr>
        <w:spacing w:after="120" w:line="240" w:lineRule="auto"/>
        <w:jc w:val="both"/>
      </w:pPr>
      <w:r>
        <w:t xml:space="preserve">Ce premier rendez-vous permettant d’identifier l’adéquation entre votre besoin et le projet de bilan de compétences et définir un planning prévisionnel </w:t>
      </w:r>
      <w:proofErr w:type="spellStart"/>
      <w:r>
        <w:t>co-construit</w:t>
      </w:r>
      <w:proofErr w:type="spellEnd"/>
      <w:r>
        <w:t xml:space="preserve"> entre le bénéficiaire et PMO - Objectif Formation </w:t>
      </w:r>
    </w:p>
    <w:p w:rsidR="00A53074" w:rsidRDefault="00A53074">
      <w:pPr>
        <w:spacing w:before="80" w:line="283" w:lineRule="auto"/>
        <w:jc w:val="both"/>
        <w:rPr>
          <w:highlight w:val="yellow"/>
        </w:rPr>
      </w:pPr>
    </w:p>
    <w:p w:rsidR="00A53074" w:rsidRDefault="00000000">
      <w:pPr>
        <w:spacing w:before="80" w:line="283" w:lineRule="auto"/>
        <w:jc w:val="both"/>
      </w:pPr>
      <w:r>
        <w:t xml:space="preserve">Afin de s’inscrire, le candidat devra transmettre son dossier de candidature accompagné des documents justificatifs attendus : </w:t>
      </w:r>
    </w:p>
    <w:p w:rsidR="00A53074" w:rsidRDefault="00A53074">
      <w:pPr>
        <w:spacing w:after="120" w:line="240" w:lineRule="auto"/>
        <w:jc w:val="both"/>
        <w:rPr>
          <w:highlight w:val="yellow"/>
        </w:rPr>
      </w:pPr>
    </w:p>
    <w:p w:rsidR="00A53074" w:rsidRDefault="00000000">
      <w:pPr>
        <w:numPr>
          <w:ilvl w:val="0"/>
          <w:numId w:val="2"/>
        </w:numPr>
        <w:spacing w:line="240" w:lineRule="auto"/>
        <w:jc w:val="both"/>
      </w:pPr>
      <w:r>
        <w:t>Grille d’analyse du besoin et co-construction du parcours établi.</w:t>
      </w:r>
    </w:p>
    <w:p w:rsidR="00A53074" w:rsidRDefault="00000000">
      <w:pPr>
        <w:numPr>
          <w:ilvl w:val="0"/>
          <w:numId w:val="2"/>
        </w:numPr>
        <w:spacing w:line="240" w:lineRule="auto"/>
        <w:jc w:val="both"/>
      </w:pPr>
      <w:r>
        <w:t>Contrat signé</w:t>
      </w:r>
    </w:p>
    <w:p w:rsidR="00A53074" w:rsidRDefault="00000000">
      <w:pPr>
        <w:numPr>
          <w:ilvl w:val="0"/>
          <w:numId w:val="2"/>
        </w:numPr>
        <w:spacing w:line="240" w:lineRule="auto"/>
        <w:jc w:val="both"/>
      </w:pPr>
      <w:r>
        <w:t>Programme, le règlement intérieur et le code de déontologie signés</w:t>
      </w:r>
    </w:p>
    <w:p w:rsidR="00A53074" w:rsidRDefault="00000000">
      <w:pPr>
        <w:numPr>
          <w:ilvl w:val="0"/>
          <w:numId w:val="2"/>
        </w:numPr>
        <w:spacing w:after="120" w:line="240" w:lineRule="auto"/>
        <w:jc w:val="both"/>
      </w:pPr>
      <w:r>
        <w:t>Validation des modalités de financement</w:t>
      </w:r>
    </w:p>
    <w:p w:rsidR="00A53074" w:rsidRDefault="00000000">
      <w:pPr>
        <w:spacing w:after="120" w:line="240" w:lineRule="auto"/>
        <w:jc w:val="both"/>
      </w:pPr>
      <w:r>
        <w:t>Le délai d’accès au bilan intervient entre 15 et 20 jours à compter de la validation du dossier.</w:t>
      </w:r>
    </w:p>
    <w:p w:rsidR="00A53074" w:rsidRDefault="00000000">
      <w:pPr>
        <w:spacing w:line="290" w:lineRule="auto"/>
        <w:jc w:val="both"/>
      </w:pPr>
      <w:r>
        <w:t>L’inscription est réputée acquise lorsque le dossier de candidature est complet</w:t>
      </w:r>
    </w:p>
    <w:p w:rsidR="00A53074" w:rsidRDefault="00000000">
      <w:pPr>
        <w:pStyle w:val="Titre1"/>
        <w:keepNext w:val="0"/>
        <w:keepLines w:val="0"/>
        <w:pBdr>
          <w:bottom w:val="single" w:sz="6" w:space="4" w:color="2E75B6"/>
        </w:pBdr>
        <w:spacing w:before="280" w:after="160" w:line="240" w:lineRule="auto"/>
      </w:pPr>
      <w:r>
        <w:rPr>
          <w:b/>
          <w:bCs/>
          <w:color w:val="1F4E79"/>
          <w:sz w:val="28"/>
          <w:szCs w:val="28"/>
        </w:rPr>
        <w:t xml:space="preserve">9. Indicateurs et points forts </w:t>
      </w:r>
    </w:p>
    <w:p w:rsidR="00A53074" w:rsidRDefault="00000000">
      <w:pPr>
        <w:spacing w:after="120" w:line="240" w:lineRule="auto"/>
        <w:jc w:val="both"/>
      </w:pPr>
      <w:r>
        <w:t>Taux de satisfaction général : 100 %</w:t>
      </w:r>
    </w:p>
    <w:p w:rsidR="00A53074" w:rsidRDefault="00000000">
      <w:pPr>
        <w:spacing w:after="120" w:line="240" w:lineRule="auto"/>
        <w:jc w:val="both"/>
      </w:pPr>
      <w:r>
        <w:t>Taux d’accomplissement : 100%</w:t>
      </w:r>
    </w:p>
    <w:p w:rsidR="00A53074" w:rsidRDefault="00000000">
      <w:pPr>
        <w:spacing w:after="120" w:line="240" w:lineRule="auto"/>
        <w:jc w:val="both"/>
      </w:pPr>
      <w:r>
        <w:t>Nombre de bénéficiaires en début : 1</w:t>
      </w:r>
    </w:p>
    <w:p w:rsidR="00A53074" w:rsidRDefault="00000000">
      <w:pPr>
        <w:spacing w:after="120" w:line="240" w:lineRule="auto"/>
        <w:jc w:val="both"/>
      </w:pPr>
      <w:r>
        <w:t>Nombre de bénéficiaires en fin d’accompagnement : 1</w:t>
      </w:r>
    </w:p>
    <w:p w:rsidR="00A53074" w:rsidRDefault="00000000">
      <w:pPr>
        <w:spacing w:after="120" w:line="240" w:lineRule="auto"/>
        <w:jc w:val="both"/>
      </w:pPr>
      <w:r>
        <w:t>Taux de réalisation des entretiens de suivi à six mois : EN</w:t>
      </w:r>
    </w:p>
    <w:p w:rsidR="00A53074" w:rsidRDefault="00000000">
      <w:pPr>
        <w:spacing w:after="120" w:line="240" w:lineRule="auto"/>
        <w:jc w:val="both"/>
      </w:pPr>
      <w:r>
        <w:t>Nombre d’enquêtes-terrain réalisées par les bénéficiaires pour valider leur projet : 2</w:t>
      </w:r>
    </w:p>
    <w:p w:rsidR="00A53074" w:rsidRDefault="00000000">
      <w:pPr>
        <w:spacing w:after="120" w:line="240" w:lineRule="auto"/>
        <w:jc w:val="both"/>
        <w:rPr>
          <w:highlight w:val="yellow"/>
        </w:rPr>
      </w:pPr>
      <w:r>
        <w:t>Nature des enquêtes-terrain réalisées par les bénéficiaires pour valider leur projet :</w:t>
      </w:r>
    </w:p>
    <w:p w:rsidR="00A53074" w:rsidRDefault="00000000">
      <w:pPr>
        <w:spacing w:after="120" w:line="240" w:lineRule="auto"/>
        <w:jc w:val="both"/>
      </w:pPr>
      <w:r>
        <w:t>- Community manager</w:t>
      </w:r>
    </w:p>
    <w:p w:rsidR="00A53074" w:rsidRDefault="00000000">
      <w:pPr>
        <w:spacing w:after="120" w:line="240" w:lineRule="auto"/>
        <w:jc w:val="both"/>
      </w:pPr>
      <w:r>
        <w:t xml:space="preserve">- Chargée de communication digitale </w:t>
      </w:r>
    </w:p>
    <w:p w:rsidR="00A53074" w:rsidRDefault="00A53074">
      <w:pPr>
        <w:spacing w:after="120" w:line="240" w:lineRule="auto"/>
        <w:jc w:val="both"/>
        <w:rPr>
          <w:highlight w:val="yellow"/>
        </w:rPr>
      </w:pPr>
    </w:p>
    <w:p w:rsidR="00A53074" w:rsidRDefault="00A53074">
      <w:pPr>
        <w:spacing w:after="120" w:line="240" w:lineRule="auto"/>
        <w:jc w:val="both"/>
        <w:rPr>
          <w:highlight w:val="yellow"/>
        </w:rPr>
      </w:pPr>
    </w:p>
    <w:p w:rsidR="00A53074" w:rsidRDefault="00000000">
      <w:pPr>
        <w:spacing w:after="120" w:line="240" w:lineRule="auto"/>
        <w:jc w:val="both"/>
      </w:pPr>
      <w:r>
        <w:t>Les indicateurs sont mis à jour trimestriellement. EN signifie En Cours, lorsque le programme n’a pas encore fait l’objet de formations permettant le calcul des indicateurs.</w:t>
      </w:r>
    </w:p>
    <w:p w:rsidR="00A53074" w:rsidRDefault="00A53074">
      <w:pPr>
        <w:spacing w:after="120" w:line="240" w:lineRule="auto"/>
        <w:jc w:val="both"/>
      </w:pPr>
    </w:p>
    <w:p w:rsidR="00A53074" w:rsidRDefault="00000000">
      <w:pPr>
        <w:spacing w:after="120" w:line="240" w:lineRule="auto"/>
        <w:jc w:val="both"/>
      </w:pPr>
      <w:r>
        <w:rPr>
          <w:b/>
          <w:bCs/>
          <w:color w:val="2E75B6"/>
          <w:sz w:val="24"/>
          <w:szCs w:val="24"/>
        </w:rPr>
        <w:t>Points forts</w:t>
      </w:r>
    </w:p>
    <w:p w:rsidR="00A53074" w:rsidRDefault="00000000">
      <w:pPr>
        <w:spacing w:after="120" w:line="240" w:lineRule="auto"/>
        <w:jc w:val="both"/>
      </w:pPr>
      <w:r>
        <w:lastRenderedPageBreak/>
        <w:t>● Disponible toute l'année.</w:t>
      </w:r>
    </w:p>
    <w:p w:rsidR="00A53074" w:rsidRDefault="00000000">
      <w:pPr>
        <w:spacing w:after="120" w:line="240" w:lineRule="auto"/>
        <w:jc w:val="both"/>
        <w:rPr>
          <w:highlight w:val="yellow"/>
        </w:rPr>
      </w:pPr>
      <w:r>
        <w:t xml:space="preserve">● Accessibilité en distanciel si besoin </w:t>
      </w:r>
    </w:p>
    <w:p w:rsidR="00A53074" w:rsidRDefault="00A53074">
      <w:pPr>
        <w:spacing w:after="120" w:line="240" w:lineRule="auto"/>
        <w:jc w:val="both"/>
      </w:pPr>
    </w:p>
    <w:p w:rsidR="00A53074" w:rsidRDefault="00000000">
      <w:pPr>
        <w:pStyle w:val="Titre1"/>
        <w:keepNext w:val="0"/>
        <w:keepLines w:val="0"/>
        <w:pBdr>
          <w:bottom w:val="single" w:sz="6" w:space="4" w:color="2E75B6"/>
        </w:pBdr>
        <w:spacing w:before="280" w:after="160" w:line="240" w:lineRule="auto"/>
        <w:rPr>
          <w:b/>
          <w:bCs/>
          <w:color w:val="1F4E79"/>
          <w:sz w:val="28"/>
          <w:szCs w:val="28"/>
        </w:rPr>
      </w:pPr>
      <w:r>
        <w:rPr>
          <w:b/>
          <w:bCs/>
          <w:color w:val="1F4E79"/>
          <w:sz w:val="28"/>
          <w:szCs w:val="28"/>
        </w:rPr>
        <w:t>10. Déroulé pédagogique détaillé (14 h)</w:t>
      </w:r>
    </w:p>
    <w:p w:rsidR="00A53074" w:rsidRDefault="00A53074">
      <w:pPr>
        <w:spacing w:after="120" w:line="240" w:lineRule="auto"/>
        <w:jc w:val="both"/>
      </w:pP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0"/>
        <w:gridCol w:w="1500"/>
        <w:gridCol w:w="2900"/>
        <w:gridCol w:w="2400"/>
        <w:gridCol w:w="1180"/>
      </w:tblGrid>
      <w:tr w:rsidR="00A53074">
        <w:trPr>
          <w:tblHeader/>
        </w:trPr>
        <w:tc>
          <w:tcPr>
            <w:tcW w:w="1380" w:type="dxa"/>
            <w:tcBorders>
              <w:top w:val="single" w:sz="4" w:space="0" w:color="BFBFBF"/>
              <w:left w:val="single" w:sz="4" w:space="0" w:color="BFBFBF"/>
              <w:bottom w:val="single" w:sz="4" w:space="0" w:color="BFBFBF"/>
              <w:right w:val="single" w:sz="4" w:space="0" w:color="BFBFBF"/>
            </w:tcBorders>
            <w:shd w:val="clear" w:color="auto" w:fill="B6D7A8"/>
            <w:tcMar>
              <w:top w:w="80" w:type="dxa"/>
              <w:left w:w="120" w:type="dxa"/>
              <w:bottom w:w="80" w:type="dxa"/>
              <w:right w:w="120" w:type="dxa"/>
            </w:tcMar>
            <w:vAlign w:val="center"/>
          </w:tcPr>
          <w:p w:rsidR="00A53074" w:rsidRDefault="00000000">
            <w:pPr>
              <w:spacing w:line="240" w:lineRule="auto"/>
              <w:jc w:val="center"/>
            </w:pPr>
            <w:r>
              <w:rPr>
                <w:b/>
                <w:bCs/>
                <w:color w:val="FFFFFF"/>
              </w:rPr>
              <w:t>Séquence</w:t>
            </w:r>
          </w:p>
        </w:tc>
        <w:tc>
          <w:tcPr>
            <w:tcW w:w="1500" w:type="dxa"/>
            <w:tcBorders>
              <w:top w:val="single" w:sz="4" w:space="0" w:color="BFBFBF"/>
              <w:left w:val="single" w:sz="4" w:space="0" w:color="BFBFBF"/>
              <w:bottom w:val="single" w:sz="4" w:space="0" w:color="BFBFBF"/>
              <w:right w:val="single" w:sz="4" w:space="0" w:color="BFBFBF"/>
            </w:tcBorders>
            <w:shd w:val="clear" w:color="auto" w:fill="B6D7A8"/>
            <w:tcMar>
              <w:top w:w="80" w:type="dxa"/>
              <w:left w:w="120" w:type="dxa"/>
              <w:bottom w:w="80" w:type="dxa"/>
              <w:right w:w="120" w:type="dxa"/>
            </w:tcMar>
            <w:vAlign w:val="center"/>
          </w:tcPr>
          <w:p w:rsidR="00A53074" w:rsidRDefault="00000000">
            <w:pPr>
              <w:spacing w:line="240" w:lineRule="auto"/>
              <w:jc w:val="center"/>
            </w:pPr>
            <w:r>
              <w:rPr>
                <w:b/>
                <w:bCs/>
                <w:color w:val="FFFFFF"/>
              </w:rPr>
              <w:t>Séance</w:t>
            </w:r>
          </w:p>
        </w:tc>
        <w:tc>
          <w:tcPr>
            <w:tcW w:w="2900" w:type="dxa"/>
            <w:tcBorders>
              <w:top w:val="single" w:sz="4" w:space="0" w:color="BFBFBF"/>
              <w:left w:val="single" w:sz="4" w:space="0" w:color="BFBFBF"/>
              <w:bottom w:val="single" w:sz="4" w:space="0" w:color="BFBFBF"/>
              <w:right w:val="single" w:sz="4" w:space="0" w:color="BFBFBF"/>
            </w:tcBorders>
            <w:shd w:val="clear" w:color="auto" w:fill="B6D7A8"/>
            <w:tcMar>
              <w:top w:w="80" w:type="dxa"/>
              <w:left w:w="120" w:type="dxa"/>
              <w:bottom w:w="80" w:type="dxa"/>
              <w:right w:w="120" w:type="dxa"/>
            </w:tcMar>
            <w:vAlign w:val="center"/>
          </w:tcPr>
          <w:p w:rsidR="00A53074" w:rsidRDefault="00000000">
            <w:pPr>
              <w:spacing w:line="240" w:lineRule="auto"/>
              <w:jc w:val="center"/>
            </w:pPr>
            <w:r>
              <w:rPr>
                <w:b/>
                <w:bCs/>
                <w:color w:val="FFFFFF"/>
              </w:rPr>
              <w:t>Contenu</w:t>
            </w:r>
          </w:p>
        </w:tc>
        <w:tc>
          <w:tcPr>
            <w:tcW w:w="2400" w:type="dxa"/>
            <w:tcBorders>
              <w:top w:val="single" w:sz="4" w:space="0" w:color="BFBFBF"/>
              <w:left w:val="single" w:sz="4" w:space="0" w:color="BFBFBF"/>
              <w:bottom w:val="single" w:sz="4" w:space="0" w:color="BFBFBF"/>
              <w:right w:val="single" w:sz="4" w:space="0" w:color="BFBFBF"/>
            </w:tcBorders>
            <w:shd w:val="clear" w:color="auto" w:fill="B6D7A8"/>
            <w:tcMar>
              <w:top w:w="80" w:type="dxa"/>
              <w:left w:w="120" w:type="dxa"/>
              <w:bottom w:w="80" w:type="dxa"/>
              <w:right w:w="120" w:type="dxa"/>
            </w:tcMar>
            <w:vAlign w:val="center"/>
          </w:tcPr>
          <w:p w:rsidR="00A53074" w:rsidRDefault="00000000">
            <w:pPr>
              <w:spacing w:line="240" w:lineRule="auto"/>
              <w:jc w:val="center"/>
            </w:pPr>
            <w:r>
              <w:rPr>
                <w:b/>
                <w:bCs/>
                <w:color w:val="FFFFFF"/>
              </w:rPr>
              <w:t>Livrables</w:t>
            </w:r>
          </w:p>
        </w:tc>
        <w:tc>
          <w:tcPr>
            <w:tcW w:w="1180" w:type="dxa"/>
            <w:tcBorders>
              <w:top w:val="single" w:sz="4" w:space="0" w:color="BFBFBF"/>
              <w:left w:val="single" w:sz="4" w:space="0" w:color="BFBFBF"/>
              <w:bottom w:val="single" w:sz="4" w:space="0" w:color="BFBFBF"/>
              <w:right w:val="single" w:sz="4" w:space="0" w:color="BFBFBF"/>
            </w:tcBorders>
            <w:shd w:val="clear" w:color="auto" w:fill="B6D7A8"/>
            <w:tcMar>
              <w:top w:w="80" w:type="dxa"/>
              <w:left w:w="120" w:type="dxa"/>
              <w:bottom w:w="80" w:type="dxa"/>
              <w:right w:w="120" w:type="dxa"/>
            </w:tcMar>
            <w:vAlign w:val="center"/>
          </w:tcPr>
          <w:p w:rsidR="00A53074" w:rsidRDefault="00000000">
            <w:pPr>
              <w:spacing w:line="240" w:lineRule="auto"/>
              <w:jc w:val="center"/>
            </w:pPr>
            <w:r>
              <w:rPr>
                <w:b/>
                <w:bCs/>
                <w:color w:val="FFFFFF"/>
              </w:rPr>
              <w:t>Durée</w:t>
            </w:r>
          </w:p>
        </w:tc>
      </w:tr>
      <w:tr w:rsidR="00A53074">
        <w:tc>
          <w:tcPr>
            <w:tcW w:w="9360" w:type="dxa"/>
            <w:gridSpan w:val="5"/>
            <w:tcBorders>
              <w:top w:val="single" w:sz="4" w:space="0" w:color="BFBFBF"/>
              <w:left w:val="single" w:sz="4" w:space="0" w:color="BFBFBF"/>
              <w:bottom w:val="single" w:sz="4" w:space="0" w:color="BFBFBF"/>
              <w:right w:val="single" w:sz="4" w:space="0" w:color="BFBFBF"/>
            </w:tcBorders>
            <w:shd w:val="clear" w:color="auto" w:fill="B6D7A8"/>
            <w:tcMar>
              <w:top w:w="80" w:type="dxa"/>
              <w:left w:w="120" w:type="dxa"/>
              <w:bottom w:w="80" w:type="dxa"/>
              <w:right w:w="120" w:type="dxa"/>
            </w:tcMar>
          </w:tcPr>
          <w:p w:rsidR="00A53074" w:rsidRDefault="00000000">
            <w:pPr>
              <w:spacing w:line="240" w:lineRule="auto"/>
            </w:pPr>
            <w:r>
              <w:rPr>
                <w:b/>
                <w:bCs/>
                <w:color w:val="FFFFFF"/>
              </w:rPr>
              <w:t>MODULE 1 – Phase préliminaire (2 h)</w:t>
            </w:r>
          </w:p>
        </w:tc>
      </w:tr>
      <w:tr w:rsidR="00A53074">
        <w:tc>
          <w:tcPr>
            <w:tcW w:w="138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rPr>
                <w:b/>
                <w:bCs/>
              </w:rPr>
            </w:pPr>
            <w:proofErr w:type="spellStart"/>
            <w:r>
              <w:rPr>
                <w:b/>
                <w:bCs/>
              </w:rPr>
              <w:t>Séq</w:t>
            </w:r>
            <w:proofErr w:type="spellEnd"/>
            <w:r>
              <w:rPr>
                <w:b/>
                <w:bCs/>
              </w:rPr>
              <w:t>. 1.1Analyse de la demande et du besoin, format et modalités de déroulement</w:t>
            </w:r>
          </w:p>
        </w:tc>
        <w:tc>
          <w:tcPr>
            <w:tcW w:w="1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t>Séance 1.1.</w:t>
            </w:r>
          </w:p>
        </w:tc>
        <w:tc>
          <w:tcPr>
            <w:tcW w:w="2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-Analyser la demande et le besoin du bénéficiaire au regard de sa situation professionnelle.</w:t>
            </w:r>
          </w:p>
          <w:p w:rsidR="00A53074" w:rsidRDefault="00000000">
            <w:pPr>
              <w:spacing w:line="240" w:lineRule="auto"/>
            </w:pPr>
            <w:r>
              <w:t>- Déterminer le format le plus adapté à la situation et au besoin ; définir conjointement les modalités de déroulement du bilan.</w:t>
            </w:r>
          </w:p>
        </w:tc>
        <w:tc>
          <w:tcPr>
            <w:tcW w:w="2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Les objectifs de votre bilan grille d’analyse partagée du besoin et co-construction du programme du bilan de compétences</w:t>
            </w:r>
          </w:p>
        </w:tc>
        <w:tc>
          <w:tcPr>
            <w:tcW w:w="11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2 h</w:t>
            </w:r>
          </w:p>
        </w:tc>
      </w:tr>
      <w:tr w:rsidR="00A53074">
        <w:tc>
          <w:tcPr>
            <w:tcW w:w="9360" w:type="dxa"/>
            <w:gridSpan w:val="5"/>
            <w:tcBorders>
              <w:top w:val="single" w:sz="4" w:space="0" w:color="BFBFBF"/>
              <w:left w:val="single" w:sz="4" w:space="0" w:color="BFBFBF"/>
              <w:bottom w:val="single" w:sz="4" w:space="0" w:color="BFBFBF"/>
              <w:right w:val="single" w:sz="4" w:space="0" w:color="BFBFBF"/>
            </w:tcBorders>
            <w:shd w:val="clear" w:color="auto" w:fill="B6D7A8"/>
            <w:tcMar>
              <w:top w:w="80" w:type="dxa"/>
              <w:left w:w="120" w:type="dxa"/>
              <w:bottom w:w="80" w:type="dxa"/>
              <w:right w:w="120" w:type="dxa"/>
            </w:tcMar>
          </w:tcPr>
          <w:p w:rsidR="00A53074" w:rsidRDefault="00000000">
            <w:pPr>
              <w:spacing w:line="240" w:lineRule="auto"/>
            </w:pPr>
            <w:r>
              <w:rPr>
                <w:b/>
                <w:bCs/>
                <w:color w:val="FFFFFF"/>
              </w:rPr>
              <w:t>MODULE 2 – Phase d'investigation (9 h) — phase centrale du bilan</w:t>
            </w:r>
          </w:p>
        </w:tc>
      </w:tr>
      <w:tr w:rsidR="00A53074">
        <w:tc>
          <w:tcPr>
            <w:tcW w:w="138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pPr>
            <w:proofErr w:type="spellStart"/>
            <w:r>
              <w:rPr>
                <w:b/>
                <w:bCs/>
              </w:rPr>
              <w:t>Séq</w:t>
            </w:r>
            <w:proofErr w:type="spellEnd"/>
            <w:r>
              <w:rPr>
                <w:b/>
                <w:bCs/>
              </w:rPr>
              <w:t>. 2.1Inventaire du parcours et des compétences</w:t>
            </w:r>
          </w:p>
        </w:tc>
        <w:tc>
          <w:tcPr>
            <w:tcW w:w="1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t>Séances 2.1.a et 2.</w:t>
            </w:r>
            <w:proofErr w:type="gramStart"/>
            <w:r>
              <w:rPr>
                <w:b/>
                <w:bCs/>
              </w:rPr>
              <w:t>1.b</w:t>
            </w:r>
            <w:proofErr w:type="gramEnd"/>
          </w:p>
        </w:tc>
        <w:tc>
          <w:tcPr>
            <w:tcW w:w="2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Recenser le parcours professionnel et de formation. Inventorier les compétences, savoir-faire et aptitudes mobilisés dans les emplois occupés. Repérer les compétences transférables.</w:t>
            </w:r>
          </w:p>
        </w:tc>
        <w:tc>
          <w:tcPr>
            <w:tcW w:w="2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Tableau d'inventaire des compétences ; CV de compétences actualisé</w:t>
            </w:r>
          </w:p>
        </w:tc>
        <w:tc>
          <w:tcPr>
            <w:tcW w:w="11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 xml:space="preserve">2 h </w:t>
            </w:r>
          </w:p>
        </w:tc>
      </w:tr>
      <w:tr w:rsidR="00A53074">
        <w:tc>
          <w:tcPr>
            <w:tcW w:w="138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pPr>
            <w:proofErr w:type="spellStart"/>
            <w:r>
              <w:rPr>
                <w:b/>
                <w:bCs/>
              </w:rPr>
              <w:t>Séq</w:t>
            </w:r>
            <w:proofErr w:type="spellEnd"/>
            <w:r>
              <w:rPr>
                <w:b/>
                <w:bCs/>
              </w:rPr>
              <w:t>. 2.2Exploration documentaire des métiers et du marché</w:t>
            </w:r>
          </w:p>
        </w:tc>
        <w:tc>
          <w:tcPr>
            <w:tcW w:w="1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t>Séances 2.2.a et 2.</w:t>
            </w:r>
            <w:proofErr w:type="gramStart"/>
            <w:r>
              <w:rPr>
                <w:b/>
                <w:bCs/>
              </w:rPr>
              <w:t>2.b</w:t>
            </w:r>
            <w:proofErr w:type="gramEnd"/>
          </w:p>
        </w:tc>
        <w:tc>
          <w:tcPr>
            <w:tcW w:w="2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Identifier les métiers et secteurs cibles à partir de sources factuelles : fiches ROME, données France Travail, référentiels métiers, offres d'emploi, tensions et bassins d'emploi.</w:t>
            </w:r>
          </w:p>
        </w:tc>
        <w:tc>
          <w:tcPr>
            <w:tcW w:w="2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Fiches métiers cibles renseignées ; relevé d'offres d'emploi ; cartographie du marché local</w:t>
            </w:r>
          </w:p>
        </w:tc>
        <w:tc>
          <w:tcPr>
            <w:tcW w:w="11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2 h</w:t>
            </w:r>
          </w:p>
        </w:tc>
      </w:tr>
      <w:tr w:rsidR="00A53074">
        <w:tc>
          <w:tcPr>
            <w:tcW w:w="138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pPr>
            <w:proofErr w:type="spellStart"/>
            <w:r>
              <w:rPr>
                <w:b/>
                <w:bCs/>
              </w:rPr>
              <w:t>Séq</w:t>
            </w:r>
            <w:proofErr w:type="spellEnd"/>
            <w:r>
              <w:rPr>
                <w:b/>
                <w:bCs/>
              </w:rPr>
              <w:t>. 2.3Enquêtes terrain</w:t>
            </w:r>
          </w:p>
        </w:tc>
        <w:tc>
          <w:tcPr>
            <w:tcW w:w="1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t>Séances 2.3.a et 2.</w:t>
            </w:r>
            <w:proofErr w:type="gramStart"/>
            <w:r>
              <w:rPr>
                <w:b/>
                <w:bCs/>
              </w:rPr>
              <w:t>3.b</w:t>
            </w:r>
            <w:proofErr w:type="gramEnd"/>
          </w:p>
        </w:tc>
        <w:tc>
          <w:tcPr>
            <w:tcW w:w="2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 xml:space="preserve">Préparer et exploiter les enquêtes terrain : prise de contact avec des professionnels en poste, entretiens-métier, immersions ou observations. Confronter les représentations à la </w:t>
            </w:r>
            <w:r>
              <w:lastRenderedPageBreak/>
              <w:t>réalité du métier (conditions d'exercice, rémunération, accès).</w:t>
            </w:r>
          </w:p>
        </w:tc>
        <w:tc>
          <w:tcPr>
            <w:tcW w:w="2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lastRenderedPageBreak/>
              <w:t>Guide d'entretien-métier ; comptes rendus d'enquêtes terrain ; grille de synthèse des enquêtes</w:t>
            </w:r>
          </w:p>
        </w:tc>
        <w:tc>
          <w:tcPr>
            <w:tcW w:w="11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 xml:space="preserve">2 h </w:t>
            </w:r>
          </w:p>
        </w:tc>
      </w:tr>
      <w:tr w:rsidR="00A53074">
        <w:tc>
          <w:tcPr>
            <w:tcW w:w="138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rPr>
                <w:b/>
                <w:bCs/>
              </w:rPr>
            </w:pPr>
            <w:proofErr w:type="spellStart"/>
            <w:r>
              <w:rPr>
                <w:b/>
                <w:bCs/>
              </w:rPr>
              <w:t>Séq</w:t>
            </w:r>
            <w:proofErr w:type="spellEnd"/>
            <w:r>
              <w:rPr>
                <w:b/>
                <w:bCs/>
              </w:rPr>
              <w:t xml:space="preserve">. 2.4 Détermination des sources de motivation </w:t>
            </w:r>
          </w:p>
        </w:tc>
        <w:tc>
          <w:tcPr>
            <w:tcW w:w="1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rPr>
                <w:b/>
                <w:bCs/>
              </w:rPr>
            </w:pPr>
            <w:r>
              <w:rPr>
                <w:b/>
                <w:bCs/>
              </w:rPr>
              <w:t>Séance 2.</w:t>
            </w:r>
            <w:proofErr w:type="gramStart"/>
            <w:r>
              <w:rPr>
                <w:b/>
                <w:bCs/>
              </w:rPr>
              <w:t>4.a</w:t>
            </w:r>
            <w:proofErr w:type="gramEnd"/>
          </w:p>
        </w:tc>
        <w:tc>
          <w:tcPr>
            <w:tcW w:w="2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 xml:space="preserve">Identifier et analyser les sources de motivation professionnelles et personnelles du bénéficiaire : intérêts, valeurs, besoins, conditions de travail recherchées, moteurs d’engagement et facteurs de démotivation. </w:t>
            </w:r>
          </w:p>
        </w:tc>
        <w:tc>
          <w:tcPr>
            <w:tcW w:w="2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Grille d’analyse des motivations ; synthèse des valeurs, besoins et intérêts professionnels ; critères de choix du projet professionnel</w:t>
            </w:r>
          </w:p>
        </w:tc>
        <w:tc>
          <w:tcPr>
            <w:tcW w:w="11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rPr>
                <w:b/>
                <w:bCs/>
              </w:rPr>
            </w:pPr>
            <w:r>
              <w:rPr>
                <w:b/>
                <w:bCs/>
              </w:rPr>
              <w:t>2h</w:t>
            </w:r>
          </w:p>
        </w:tc>
      </w:tr>
      <w:tr w:rsidR="00A53074">
        <w:tc>
          <w:tcPr>
            <w:tcW w:w="138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pPr>
            <w:proofErr w:type="spellStart"/>
            <w:r>
              <w:rPr>
                <w:b/>
                <w:bCs/>
              </w:rPr>
              <w:t>Séq</w:t>
            </w:r>
            <w:proofErr w:type="spellEnd"/>
            <w:r>
              <w:rPr>
                <w:b/>
                <w:bCs/>
              </w:rPr>
              <w:t>. 2.5Construction du projet et vérification de la pertinence</w:t>
            </w:r>
          </w:p>
        </w:tc>
        <w:tc>
          <w:tcPr>
            <w:tcW w:w="1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t>Séance 2.</w:t>
            </w:r>
            <w:proofErr w:type="gramStart"/>
            <w:r>
              <w:rPr>
                <w:b/>
                <w:bCs/>
              </w:rPr>
              <w:t>5.a</w:t>
            </w:r>
            <w:proofErr w:type="gramEnd"/>
          </w:p>
        </w:tc>
        <w:tc>
          <w:tcPr>
            <w:tcW w:w="2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Construire le projet professionnel et en vérifier la pertinence au regard des compétences, des sources de motivation du marché et des enquêtes. Mesurer les écarts de compétences et les besoins de formation. À défaut, élaborer une ou plusieurs alternatives.</w:t>
            </w:r>
          </w:p>
        </w:tc>
        <w:tc>
          <w:tcPr>
            <w:tcW w:w="2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Fiche projet professionnel ; analyse des écarts de compétences ; liste des alternatives</w:t>
            </w:r>
          </w:p>
          <w:p w:rsidR="00A53074" w:rsidRDefault="00000000">
            <w:pPr>
              <w:spacing w:line="240" w:lineRule="auto"/>
            </w:pPr>
            <w:r>
              <w:t>Tableau des conditions et moyens (formation, financement, démarches)</w:t>
            </w:r>
          </w:p>
          <w:p w:rsidR="00A53074" w:rsidRDefault="00A53074">
            <w:pPr>
              <w:spacing w:line="240" w:lineRule="auto"/>
            </w:pPr>
          </w:p>
        </w:tc>
        <w:tc>
          <w:tcPr>
            <w:tcW w:w="11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2 h</w:t>
            </w:r>
          </w:p>
        </w:tc>
      </w:tr>
      <w:tr w:rsidR="00A53074">
        <w:tc>
          <w:tcPr>
            <w:tcW w:w="9360" w:type="dxa"/>
            <w:gridSpan w:val="5"/>
            <w:tcBorders>
              <w:top w:val="single" w:sz="4" w:space="0" w:color="BFBFBF"/>
              <w:left w:val="single" w:sz="4" w:space="0" w:color="BFBFBF"/>
              <w:bottom w:val="single" w:sz="4" w:space="0" w:color="BFBFBF"/>
              <w:right w:val="single" w:sz="4" w:space="0" w:color="BFBFBF"/>
            </w:tcBorders>
            <w:shd w:val="clear" w:color="auto" w:fill="B6D7A8"/>
            <w:tcMar>
              <w:top w:w="80" w:type="dxa"/>
              <w:left w:w="120" w:type="dxa"/>
              <w:bottom w:w="80" w:type="dxa"/>
              <w:right w:w="120" w:type="dxa"/>
            </w:tcMar>
          </w:tcPr>
          <w:p w:rsidR="00A53074" w:rsidRDefault="00000000">
            <w:pPr>
              <w:spacing w:line="240" w:lineRule="auto"/>
            </w:pPr>
            <w:r>
              <w:rPr>
                <w:b/>
                <w:bCs/>
                <w:color w:val="FFFFFF"/>
              </w:rPr>
              <w:t>MODULE 3 – Phase de conclusion (2 h)</w:t>
            </w:r>
          </w:p>
        </w:tc>
      </w:tr>
      <w:tr w:rsidR="00A53074">
        <w:tc>
          <w:tcPr>
            <w:tcW w:w="138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rsidR="00A53074" w:rsidRDefault="00000000">
            <w:pPr>
              <w:spacing w:line="240" w:lineRule="auto"/>
            </w:pPr>
            <w:proofErr w:type="spellStart"/>
            <w:r>
              <w:rPr>
                <w:b/>
                <w:bCs/>
              </w:rPr>
              <w:t>Séq</w:t>
            </w:r>
            <w:proofErr w:type="spellEnd"/>
            <w:r>
              <w:rPr>
                <w:b/>
                <w:bCs/>
              </w:rPr>
              <w:t>. 3.2Conditions et moyens de réalisation</w:t>
            </w:r>
          </w:p>
        </w:tc>
        <w:tc>
          <w:tcPr>
            <w:tcW w:w="1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rPr>
                <w:b/>
                <w:bCs/>
              </w:rPr>
              <w:t>Séance 3.1.</w:t>
            </w:r>
          </w:p>
        </w:tc>
        <w:tc>
          <w:tcPr>
            <w:tcW w:w="2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A53074">
            <w:pPr>
              <w:spacing w:line="240" w:lineRule="auto"/>
            </w:pPr>
          </w:p>
          <w:p w:rsidR="00A53074" w:rsidRDefault="00000000">
            <w:pPr>
              <w:spacing w:line="240" w:lineRule="auto"/>
            </w:pPr>
            <w:r>
              <w:t xml:space="preserve"> Prévoir les principales modalités et étapes du ou des projets professionnels, dont la possibilité d'un entretien de suivi. Remise du document de synthèse</w:t>
            </w:r>
          </w:p>
          <w:p w:rsidR="00A53074" w:rsidRDefault="00A53074">
            <w:pPr>
              <w:spacing w:line="240" w:lineRule="auto"/>
            </w:pPr>
          </w:p>
          <w:p w:rsidR="00A53074" w:rsidRDefault="00A53074">
            <w:pPr>
              <w:spacing w:line="240" w:lineRule="auto"/>
            </w:pPr>
          </w:p>
        </w:tc>
        <w:tc>
          <w:tcPr>
            <w:tcW w:w="2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pPr>
            <w:r>
              <w:t>- Plan d'étapes daté ; document de synthèse remis au bénéficiaire</w:t>
            </w:r>
          </w:p>
        </w:tc>
        <w:tc>
          <w:tcPr>
            <w:tcW w:w="11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rsidR="00A53074" w:rsidRDefault="00000000">
            <w:pPr>
              <w:spacing w:line="240" w:lineRule="auto"/>
              <w:jc w:val="center"/>
            </w:pPr>
            <w:r>
              <w:rPr>
                <w:b/>
                <w:bCs/>
              </w:rPr>
              <w:t>2 h</w:t>
            </w:r>
          </w:p>
        </w:tc>
      </w:tr>
      <w:tr w:rsidR="00A53074">
        <w:tc>
          <w:tcPr>
            <w:tcW w:w="1380" w:type="dxa"/>
            <w:tcBorders>
              <w:top w:val="single" w:sz="4" w:space="0" w:color="BFBFBF"/>
              <w:left w:val="single" w:sz="4" w:space="0" w:color="BFBFBF"/>
              <w:bottom w:val="single" w:sz="4" w:space="0" w:color="BFBFBF"/>
              <w:right w:val="single" w:sz="4" w:space="0" w:color="BFBFBF"/>
            </w:tcBorders>
            <w:shd w:val="clear" w:color="auto" w:fill="D5E8F0"/>
            <w:tcMar>
              <w:top w:w="80" w:type="dxa"/>
              <w:left w:w="120" w:type="dxa"/>
              <w:bottom w:w="80" w:type="dxa"/>
              <w:right w:w="120" w:type="dxa"/>
            </w:tcMar>
            <w:vAlign w:val="center"/>
          </w:tcPr>
          <w:p w:rsidR="00A53074" w:rsidRDefault="00A53074">
            <w:pPr>
              <w:spacing w:line="240" w:lineRule="auto"/>
            </w:pPr>
          </w:p>
        </w:tc>
        <w:tc>
          <w:tcPr>
            <w:tcW w:w="1500" w:type="dxa"/>
            <w:tcBorders>
              <w:top w:val="single" w:sz="4" w:space="0" w:color="BFBFBF"/>
              <w:left w:val="single" w:sz="4" w:space="0" w:color="BFBFBF"/>
              <w:bottom w:val="single" w:sz="4" w:space="0" w:color="BFBFBF"/>
              <w:right w:val="single" w:sz="4" w:space="0" w:color="BFBFBF"/>
            </w:tcBorders>
            <w:shd w:val="clear" w:color="auto" w:fill="D5E8F0"/>
            <w:tcMar>
              <w:top w:w="80" w:type="dxa"/>
              <w:left w:w="120" w:type="dxa"/>
              <w:bottom w:w="80" w:type="dxa"/>
              <w:right w:w="120" w:type="dxa"/>
            </w:tcMar>
            <w:vAlign w:val="center"/>
          </w:tcPr>
          <w:p w:rsidR="00A53074" w:rsidRDefault="00000000">
            <w:pPr>
              <w:spacing w:line="240" w:lineRule="auto"/>
            </w:pPr>
            <w:r>
              <w:rPr>
                <w:b/>
                <w:bCs/>
              </w:rPr>
              <w:t>TOTAL</w:t>
            </w:r>
          </w:p>
        </w:tc>
        <w:tc>
          <w:tcPr>
            <w:tcW w:w="2900" w:type="dxa"/>
            <w:tcBorders>
              <w:top w:val="single" w:sz="4" w:space="0" w:color="BFBFBF"/>
              <w:left w:val="single" w:sz="4" w:space="0" w:color="BFBFBF"/>
              <w:bottom w:val="single" w:sz="4" w:space="0" w:color="BFBFBF"/>
              <w:right w:val="single" w:sz="4" w:space="0" w:color="BFBFBF"/>
            </w:tcBorders>
            <w:shd w:val="clear" w:color="auto" w:fill="D5E8F0"/>
            <w:tcMar>
              <w:top w:w="80" w:type="dxa"/>
              <w:left w:w="120" w:type="dxa"/>
              <w:bottom w:w="80" w:type="dxa"/>
              <w:right w:w="120" w:type="dxa"/>
            </w:tcMar>
            <w:vAlign w:val="center"/>
          </w:tcPr>
          <w:p w:rsidR="00A53074" w:rsidRDefault="00000000">
            <w:pPr>
              <w:spacing w:line="240" w:lineRule="auto"/>
            </w:pPr>
            <w:r>
              <w:t>Hors entretien préalable</w:t>
            </w:r>
          </w:p>
        </w:tc>
        <w:tc>
          <w:tcPr>
            <w:tcW w:w="2400" w:type="dxa"/>
            <w:tcBorders>
              <w:top w:val="single" w:sz="4" w:space="0" w:color="BFBFBF"/>
              <w:left w:val="single" w:sz="4" w:space="0" w:color="BFBFBF"/>
              <w:bottom w:val="single" w:sz="4" w:space="0" w:color="BFBFBF"/>
              <w:right w:val="single" w:sz="4" w:space="0" w:color="BFBFBF"/>
            </w:tcBorders>
            <w:shd w:val="clear" w:color="auto" w:fill="D5E8F0"/>
            <w:tcMar>
              <w:top w:w="80" w:type="dxa"/>
              <w:left w:w="120" w:type="dxa"/>
              <w:bottom w:w="80" w:type="dxa"/>
              <w:right w:w="120" w:type="dxa"/>
            </w:tcMar>
            <w:vAlign w:val="center"/>
          </w:tcPr>
          <w:p w:rsidR="00A53074" w:rsidRDefault="00A53074">
            <w:pPr>
              <w:spacing w:line="240" w:lineRule="auto"/>
            </w:pPr>
          </w:p>
        </w:tc>
        <w:tc>
          <w:tcPr>
            <w:tcW w:w="1180" w:type="dxa"/>
            <w:tcBorders>
              <w:top w:val="single" w:sz="4" w:space="0" w:color="BFBFBF"/>
              <w:left w:val="single" w:sz="4" w:space="0" w:color="BFBFBF"/>
              <w:bottom w:val="single" w:sz="4" w:space="0" w:color="BFBFBF"/>
              <w:right w:val="single" w:sz="4" w:space="0" w:color="BFBFBF"/>
            </w:tcBorders>
            <w:shd w:val="clear" w:color="auto" w:fill="D5E8F0"/>
            <w:tcMar>
              <w:top w:w="80" w:type="dxa"/>
              <w:left w:w="120" w:type="dxa"/>
              <w:bottom w:w="80" w:type="dxa"/>
              <w:right w:w="120" w:type="dxa"/>
            </w:tcMar>
            <w:vAlign w:val="center"/>
          </w:tcPr>
          <w:p w:rsidR="00A53074" w:rsidRDefault="00000000">
            <w:pPr>
              <w:spacing w:line="240" w:lineRule="auto"/>
              <w:jc w:val="center"/>
            </w:pPr>
            <w:r>
              <w:rPr>
                <w:b/>
                <w:bCs/>
              </w:rPr>
              <w:t>14 h</w:t>
            </w:r>
          </w:p>
        </w:tc>
      </w:tr>
    </w:tbl>
    <w:p w:rsidR="00A53074" w:rsidRDefault="00A53074">
      <w:pPr>
        <w:spacing w:before="200" w:line="240" w:lineRule="auto"/>
        <w:rPr>
          <w:i/>
          <w:iCs/>
          <w:color w:val="808080"/>
          <w:sz w:val="18"/>
          <w:szCs w:val="18"/>
        </w:rPr>
      </w:pPr>
    </w:p>
    <w:p w:rsidR="00A53074" w:rsidRDefault="00000000">
      <w:pPr>
        <w:pStyle w:val="Titre1"/>
        <w:keepNext w:val="0"/>
        <w:keepLines w:val="0"/>
        <w:pBdr>
          <w:bottom w:val="single" w:sz="6" w:space="4" w:color="2E75B6"/>
        </w:pBdr>
        <w:spacing w:before="280" w:after="160" w:line="240" w:lineRule="auto"/>
        <w:rPr>
          <w:b/>
          <w:bCs/>
          <w:color w:val="1F4E79"/>
          <w:sz w:val="28"/>
          <w:szCs w:val="28"/>
        </w:rPr>
      </w:pPr>
      <w:bookmarkStart w:id="1" w:name="_sbx01kjzr7a" w:colFirst="0" w:colLast="0"/>
      <w:bookmarkEnd w:id="1"/>
      <w:r>
        <w:rPr>
          <w:b/>
          <w:bCs/>
          <w:color w:val="1F4E79"/>
          <w:sz w:val="28"/>
          <w:szCs w:val="28"/>
        </w:rPr>
        <w:t>11. Déontologie et engagements déontologiques du centre</w:t>
      </w:r>
    </w:p>
    <w:p w:rsidR="00A53074" w:rsidRDefault="00000000">
      <w:pPr>
        <w:spacing w:after="120" w:line="240" w:lineRule="auto"/>
        <w:jc w:val="both"/>
      </w:pPr>
      <w:r>
        <w:t>Le centre et ses consultants s'engagent, dans la conduite de chaque bilan de compétences, au respect des engagements déontologiques suivants. Ces engagements sont portés à la connaissance du bénéficiaire avant l'entrée en prestation et formalisés dans la charte de déontologie remise et signée.</w:t>
      </w: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A53074">
        <w:tc>
          <w:tcPr>
            <w:tcW w:w="9360" w:type="dxa"/>
            <w:tcBorders>
              <w:top w:val="single" w:sz="8" w:space="0" w:color="2E75B6"/>
              <w:left w:val="single" w:sz="18" w:space="0" w:color="2E75B6"/>
              <w:bottom w:val="single" w:sz="8" w:space="0" w:color="2E75B6"/>
              <w:right w:val="single" w:sz="8" w:space="0" w:color="2E75B6"/>
            </w:tcBorders>
            <w:shd w:val="clear" w:color="auto" w:fill="F4F8FC"/>
            <w:tcMar>
              <w:top w:w="160" w:type="dxa"/>
              <w:left w:w="220" w:type="dxa"/>
              <w:bottom w:w="160" w:type="dxa"/>
              <w:right w:w="220" w:type="dxa"/>
            </w:tcMar>
          </w:tcPr>
          <w:p w:rsidR="00A53074" w:rsidRDefault="00000000">
            <w:pPr>
              <w:spacing w:after="100" w:line="240" w:lineRule="auto"/>
            </w:pPr>
            <w:r>
              <w:rPr>
                <w:b/>
                <w:bCs/>
                <w:color w:val="1F4E79"/>
              </w:rPr>
              <w:lastRenderedPageBreak/>
              <w:t>Engagements déontologiques applicables à chaque bilan</w:t>
            </w:r>
          </w:p>
          <w:p w:rsidR="00A53074" w:rsidRDefault="00000000">
            <w:pPr>
              <w:spacing w:after="70" w:line="240" w:lineRule="auto"/>
              <w:jc w:val="both"/>
            </w:pPr>
            <w:r>
              <w:rPr>
                <w:b/>
                <w:bCs/>
              </w:rPr>
              <w:t xml:space="preserve">Consentement : </w:t>
            </w:r>
            <w:r>
              <w:t>aucun bilan n'est réalisé sans le consentement préalable et la démarche volontaire du bénéficiaire ; il peut interrompre la prestation à tout moment.</w:t>
            </w:r>
          </w:p>
          <w:p w:rsidR="00A53074" w:rsidRDefault="00000000">
            <w:pPr>
              <w:spacing w:after="70" w:line="240" w:lineRule="auto"/>
              <w:jc w:val="both"/>
            </w:pPr>
            <w:r>
              <w:rPr>
                <w:b/>
                <w:bCs/>
              </w:rPr>
              <w:t xml:space="preserve">Neutralité et absence de jugement : </w:t>
            </w:r>
            <w:r>
              <w:t>le consultant adopte une posture neutre et objective ; il n'oriente pas les conclusions et n'impose aucune solution.</w:t>
            </w:r>
          </w:p>
          <w:p w:rsidR="00A53074" w:rsidRDefault="00000000">
            <w:pPr>
              <w:spacing w:after="70" w:line="240" w:lineRule="auto"/>
              <w:jc w:val="both"/>
            </w:pPr>
            <w:r>
              <w:rPr>
                <w:b/>
                <w:bCs/>
              </w:rPr>
              <w:t xml:space="preserve">Confidentialité : </w:t>
            </w:r>
            <w:r>
              <w:t>les résultats détaillés et le document de synthèse sont strictement confidentiels ; ils ne peuvent être communiqués à un tiers, y compris au financeur ou à l'employeur, qu'avec l'accord écrit du bénéficiaire.</w:t>
            </w:r>
          </w:p>
          <w:p w:rsidR="00A53074" w:rsidRDefault="00000000">
            <w:pPr>
              <w:spacing w:after="70" w:line="240" w:lineRule="auto"/>
              <w:jc w:val="both"/>
            </w:pPr>
            <w:r>
              <w:rPr>
                <w:b/>
                <w:bCs/>
              </w:rPr>
              <w:t xml:space="preserve">Secret professionnel : </w:t>
            </w:r>
            <w:r>
              <w:t>l'ensemble des intervenants est tenu au secret professionnel sur les informations recueillies.</w:t>
            </w:r>
          </w:p>
          <w:p w:rsidR="00A53074" w:rsidRDefault="00000000">
            <w:pPr>
              <w:spacing w:after="70" w:line="240" w:lineRule="auto"/>
              <w:jc w:val="both"/>
            </w:pPr>
            <w:r>
              <w:rPr>
                <w:b/>
                <w:bCs/>
              </w:rPr>
              <w:t xml:space="preserve">Pertinence des informations : </w:t>
            </w:r>
            <w:r>
              <w:t>les informations demandées présentent un lien direct et nécessaire avec l'objet du bilan ; le bénéficiaire y répond de bonne foi.</w:t>
            </w:r>
          </w:p>
          <w:p w:rsidR="00A53074" w:rsidRDefault="00000000">
            <w:pPr>
              <w:spacing w:after="70" w:line="240" w:lineRule="auto"/>
              <w:jc w:val="both"/>
            </w:pPr>
            <w:r>
              <w:rPr>
                <w:b/>
                <w:bCs/>
              </w:rPr>
              <w:t xml:space="preserve">Propriété et destruction des documents : </w:t>
            </w:r>
            <w:r>
              <w:t>le document de synthèse est la propriété exclusive du bénéficiaire ; les documents élaborés sont détruits à l'issue du bilan, sauf demande écrite de conservation (dans la limite d'un an).</w:t>
            </w:r>
          </w:p>
          <w:p w:rsidR="00A53074" w:rsidRDefault="00000000">
            <w:pPr>
              <w:spacing w:after="70" w:line="240" w:lineRule="auto"/>
              <w:jc w:val="both"/>
            </w:pPr>
            <w:r>
              <w:rPr>
                <w:b/>
                <w:bCs/>
              </w:rPr>
              <w:t xml:space="preserve">Protection des données (RGPD) : </w:t>
            </w:r>
            <w:r>
              <w:t>les données sont traitées de façon licite, loyale et sécurisée ; le bénéficiaire dispose d'un droit d'accès, de rectification et de suppression.</w:t>
            </w:r>
          </w:p>
          <w:p w:rsidR="00A53074" w:rsidRDefault="00000000">
            <w:pPr>
              <w:spacing w:after="70" w:line="240" w:lineRule="auto"/>
              <w:jc w:val="both"/>
            </w:pPr>
            <w:r>
              <w:rPr>
                <w:b/>
                <w:bCs/>
              </w:rPr>
              <w:t xml:space="preserve">Qualification et probité : </w:t>
            </w:r>
            <w:r>
              <w:t>le bilan est conduit par un consultant qualifié, qui s'interdit toute situation de conflit d'intérêts et toute pratique commerciale déloyale (vente liée de formations, démarchage abusif).</w:t>
            </w:r>
          </w:p>
        </w:tc>
      </w:tr>
    </w:tbl>
    <w:p w:rsidR="00A53074" w:rsidRDefault="00A53074">
      <w:pPr>
        <w:pStyle w:val="Titre1"/>
        <w:keepNext w:val="0"/>
        <w:keepLines w:val="0"/>
        <w:pBdr>
          <w:bottom w:val="single" w:sz="6" w:space="4" w:color="2E75B6"/>
        </w:pBdr>
        <w:spacing w:before="280" w:after="160" w:line="240" w:lineRule="auto"/>
        <w:rPr>
          <w:b/>
          <w:bCs/>
          <w:i/>
          <w:iCs/>
          <w:color w:val="808080"/>
          <w:sz w:val="18"/>
          <w:szCs w:val="18"/>
        </w:rPr>
      </w:pPr>
      <w:bookmarkStart w:id="2" w:name="_4i7bhi37ozir" w:colFirst="0" w:colLast="0"/>
      <w:bookmarkEnd w:id="2"/>
    </w:p>
    <w:p w:rsidR="00A53074" w:rsidRDefault="00A53074">
      <w:pPr>
        <w:shd w:val="clear" w:color="auto" w:fill="FFFFFF"/>
        <w:rPr>
          <w:rFonts w:ascii="Trebuchet MS" w:eastAsia="Trebuchet MS" w:hAnsi="Trebuchet MS" w:cs="Trebuchet MS"/>
          <w:sz w:val="21"/>
          <w:szCs w:val="21"/>
        </w:rPr>
      </w:pPr>
    </w:p>
    <w:p w:rsidR="00A53074" w:rsidRDefault="00A53074">
      <w:pPr>
        <w:shd w:val="clear" w:color="auto" w:fill="FFFFFF"/>
        <w:spacing w:before="240" w:after="240"/>
        <w:rPr>
          <w:rFonts w:ascii="Trebuchet MS" w:eastAsia="Trebuchet MS" w:hAnsi="Trebuchet MS" w:cs="Trebuchet MS"/>
          <w:sz w:val="21"/>
          <w:szCs w:val="21"/>
        </w:rPr>
      </w:pPr>
    </w:p>
    <w:p w:rsidR="00A53074" w:rsidRDefault="00A53074">
      <w:pPr>
        <w:shd w:val="clear" w:color="auto" w:fill="FFFFFF"/>
        <w:rPr>
          <w:rFonts w:ascii="Trebuchet MS" w:eastAsia="Trebuchet MS" w:hAnsi="Trebuchet MS" w:cs="Trebuchet MS"/>
          <w:sz w:val="21"/>
          <w:szCs w:val="21"/>
        </w:rPr>
      </w:pPr>
    </w:p>
    <w:p w:rsidR="00A53074" w:rsidRDefault="00A53074"/>
    <w:sectPr w:rsidR="00A53074">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3F24" w:rsidRDefault="00AF3F24">
      <w:pPr>
        <w:spacing w:line="240" w:lineRule="auto"/>
      </w:pPr>
      <w:r>
        <w:separator/>
      </w:r>
    </w:p>
  </w:endnote>
  <w:endnote w:type="continuationSeparator" w:id="0">
    <w:p w:rsidR="00AF3F24" w:rsidRDefault="00AF3F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C008D58D-C87A-444F-A9CB-06E081FCE3A6}"/>
  </w:font>
  <w:font w:name="Arial">
    <w:panose1 w:val="020B0604020202020204"/>
    <w:charset w:val="00"/>
    <w:family w:val="swiss"/>
    <w:pitch w:val="variable"/>
    <w:sig w:usb0="E0002AFF" w:usb1="C0007843" w:usb2="00000009" w:usb3="00000000" w:csb0="000001FF" w:csb1="00000000"/>
    <w:embedRegular r:id="rId2" w:fontKey="{66DB96BD-D02D-B848-85FF-70637DA78910}"/>
    <w:embedBold r:id="rId3" w:fontKey="{0401A49B-D4B5-DA46-AC2C-D055C46332F7}"/>
    <w:embedItalic r:id="rId4" w:fontKey="{91D7765B-57B4-2E48-AC6F-A4792FFAC1C4}"/>
    <w:embedBoldItalic r:id="rId5" w:fontKey="{17D9E4DD-6B07-494E-9B6F-DE85BEE7194C}"/>
  </w:font>
  <w:font w:name="Trebuchet MS">
    <w:panose1 w:val="020B0603020202020204"/>
    <w:charset w:val="00"/>
    <w:family w:val="swiss"/>
    <w:pitch w:val="variable"/>
    <w:sig w:usb0="00000287" w:usb1="00000000" w:usb2="00000000" w:usb3="00000000" w:csb0="0000009F" w:csb1="00000000"/>
    <w:embedRegular r:id="rId6" w:fontKey="{EABB8AA6-F7BC-2948-91F2-A9687976BFCF}"/>
  </w:font>
  <w:font w:name="Cambria">
    <w:panose1 w:val="02040503050406030204"/>
    <w:charset w:val="00"/>
    <w:family w:val="roman"/>
    <w:pitch w:val="variable"/>
    <w:sig w:usb0="E00002FF" w:usb1="400004FF" w:usb2="00000000" w:usb3="00000000" w:csb0="0000019F" w:csb1="00000000"/>
    <w:embedRegular r:id="rId7" w:fontKey="{6A8B1EEE-661B-0F44-82F4-ECE1548B44BA}"/>
  </w:font>
  <w:font w:name="Calibri">
    <w:panose1 w:val="020F0502020204030204"/>
    <w:charset w:val="00"/>
    <w:family w:val="swiss"/>
    <w:pitch w:val="variable"/>
    <w:sig w:usb0="E4002EFF" w:usb1="C000247B" w:usb2="00000009" w:usb3="00000000" w:csb0="000001FF" w:csb1="00000000"/>
    <w:embedRegular r:id="rId8" w:fontKey="{8DD45848-096C-5147-AC2D-18F679E98F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3074" w:rsidRDefault="00000000">
    <w:pPr>
      <w:spacing w:line="240" w:lineRule="auto"/>
      <w:jc w:val="center"/>
      <w:rPr>
        <w:color w:val="33475B"/>
        <w:sz w:val="21"/>
        <w:szCs w:val="21"/>
        <w:highlight w:val="white"/>
      </w:rPr>
    </w:pPr>
    <w:r>
      <w:rPr>
        <w:rFonts w:ascii="Trebuchet MS" w:eastAsia="Trebuchet MS" w:hAnsi="Trebuchet MS" w:cs="Trebuchet MS"/>
        <w:sz w:val="20"/>
        <w:szCs w:val="20"/>
        <w:highlight w:val="white"/>
      </w:rPr>
      <w:t xml:space="preserve">Patrick Mimoun - </w:t>
    </w:r>
    <w:r>
      <w:rPr>
        <w:rFonts w:ascii="Trebuchet MS" w:eastAsia="Trebuchet MS" w:hAnsi="Trebuchet MS" w:cs="Trebuchet MS"/>
        <w:sz w:val="20"/>
        <w:szCs w:val="20"/>
      </w:rPr>
      <w:t xml:space="preserve">06 52 31 90 62 - </w:t>
    </w:r>
    <w:hyperlink r:id="rId1">
      <w:r>
        <w:rPr>
          <w:color w:val="1155CC"/>
          <w:sz w:val="21"/>
          <w:szCs w:val="21"/>
          <w:highlight w:val="white"/>
          <w:u w:val="single"/>
        </w:rPr>
        <w:t>chezpmo@gmail.com</w:t>
      </w:r>
    </w:hyperlink>
    <w:r>
      <w:rPr>
        <w:color w:val="33475B"/>
        <w:sz w:val="21"/>
        <w:szCs w:val="21"/>
        <w:highlight w:val="white"/>
      </w:rPr>
      <w:t xml:space="preserve">  </w:t>
    </w:r>
  </w:p>
  <w:p w:rsidR="00A53074" w:rsidRDefault="00000000">
    <w:pPr>
      <w:spacing w:line="240" w:lineRule="auto"/>
      <w:jc w:val="center"/>
      <w:rPr>
        <w:rFonts w:ascii="Trebuchet MS" w:eastAsia="Trebuchet MS" w:hAnsi="Trebuchet MS" w:cs="Trebuchet MS"/>
        <w:sz w:val="20"/>
        <w:szCs w:val="20"/>
      </w:rPr>
    </w:pPr>
    <w:r>
      <w:rPr>
        <w:rFonts w:ascii="Trebuchet MS" w:eastAsia="Trebuchet MS" w:hAnsi="Trebuchet MS" w:cs="Trebuchet MS"/>
        <w:sz w:val="20"/>
        <w:szCs w:val="20"/>
      </w:rPr>
      <w:t xml:space="preserve">PMO/ OBJECTIF FORMATION - </w:t>
    </w:r>
  </w:p>
  <w:p w:rsidR="00A53074" w:rsidRDefault="00000000">
    <w:pPr>
      <w:spacing w:line="240" w:lineRule="auto"/>
      <w:jc w:val="center"/>
      <w:rPr>
        <w:rFonts w:ascii="Trebuchet MS" w:eastAsia="Trebuchet MS" w:hAnsi="Trebuchet MS" w:cs="Trebuchet MS"/>
        <w:sz w:val="20"/>
        <w:szCs w:val="20"/>
      </w:rPr>
    </w:pPr>
    <w:r>
      <w:rPr>
        <w:rFonts w:ascii="Trebuchet MS" w:eastAsia="Trebuchet MS" w:hAnsi="Trebuchet MS" w:cs="Trebuchet MS"/>
        <w:sz w:val="20"/>
        <w:szCs w:val="20"/>
      </w:rPr>
      <w:t>41 quai de L'Oise, - 75019 Paris</w:t>
    </w:r>
  </w:p>
  <w:p w:rsidR="00A53074" w:rsidRDefault="00000000">
    <w:pPr>
      <w:shd w:val="clear" w:color="auto" w:fill="FFFFFF"/>
      <w:spacing w:line="240" w:lineRule="auto"/>
      <w:jc w:val="center"/>
      <w:rPr>
        <w:rFonts w:ascii="Trebuchet MS" w:eastAsia="Trebuchet MS" w:hAnsi="Trebuchet MS" w:cs="Trebuchet MS"/>
        <w:sz w:val="20"/>
        <w:szCs w:val="20"/>
      </w:rPr>
    </w:pPr>
    <w:r>
      <w:rPr>
        <w:rFonts w:ascii="Trebuchet MS" w:eastAsia="Trebuchet MS" w:hAnsi="Trebuchet MS" w:cs="Trebuchet MS"/>
        <w:sz w:val="20"/>
        <w:szCs w:val="20"/>
      </w:rPr>
      <w:t>NDA  11756151475 - SIRET 890 802 242 00028 - APE 8559A</w:t>
    </w:r>
  </w:p>
  <w:p w:rsidR="00A53074" w:rsidRDefault="00000000">
    <w:pPr>
      <w:shd w:val="clear" w:color="auto" w:fill="FFFFFF"/>
      <w:spacing w:line="240" w:lineRule="auto"/>
    </w:pPr>
    <w:r>
      <w:rPr>
        <w:rFonts w:ascii="Trebuchet MS" w:eastAsia="Trebuchet MS" w:hAnsi="Trebuchet MS" w:cs="Trebuchet MS"/>
        <w:sz w:val="20"/>
        <w:szCs w:val="20"/>
      </w:rPr>
      <w:t>MAJ le 01-01-2026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3F24" w:rsidRDefault="00AF3F24">
      <w:pPr>
        <w:spacing w:line="240" w:lineRule="auto"/>
      </w:pPr>
      <w:r>
        <w:separator/>
      </w:r>
    </w:p>
  </w:footnote>
  <w:footnote w:type="continuationSeparator" w:id="0">
    <w:p w:rsidR="00AF3F24" w:rsidRDefault="00AF3F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3074" w:rsidRDefault="00000000">
    <w:pPr>
      <w:spacing w:after="200"/>
    </w:pPr>
    <w:r>
      <w:rPr>
        <w:rFonts w:ascii="Cambria" w:eastAsia="Cambria" w:hAnsi="Cambria" w:cs="Cambria"/>
        <w:noProof/>
      </w:rPr>
      <w:drawing>
        <wp:inline distT="114300" distB="114300" distL="114300" distR="114300">
          <wp:extent cx="1414463" cy="58395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14463" cy="58395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255B8"/>
    <w:multiLevelType w:val="multilevel"/>
    <w:tmpl w:val="6F4C45FA"/>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 w15:restartNumberingAfterBreak="0">
    <w:nsid w:val="1ACE0129"/>
    <w:multiLevelType w:val="multilevel"/>
    <w:tmpl w:val="6EE84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778012">
    <w:abstractNumId w:val="0"/>
  </w:num>
  <w:num w:numId="2" w16cid:durableId="678586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074"/>
    <w:rsid w:val="004E39BB"/>
    <w:rsid w:val="00A53074"/>
    <w:rsid w:val="00AF3F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docId w15:val="{762B81F4-CB9E-5A40-B9F9-2C62D8B78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hezpmo@gmail.com" TargetMode="External"/><Relationship Id="rId3" Type="http://schemas.openxmlformats.org/officeDocument/2006/relationships/settings" Target="settings.xml"/><Relationship Id="rId7" Type="http://schemas.openxmlformats.org/officeDocument/2006/relationships/hyperlink" Target="mailto:chezpm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chezpm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1951</Words>
  <Characters>10731</Characters>
  <Application>Microsoft Office Word</Application>
  <DocSecurity>0</DocSecurity>
  <Lines>89</Lines>
  <Paragraphs>25</Paragraphs>
  <ScaleCrop>false</ScaleCrop>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Noam Ouaknine</cp:lastModifiedBy>
  <cp:revision>2</cp:revision>
  <dcterms:created xsi:type="dcterms:W3CDTF">2026-07-20T15:31:00Z</dcterms:created>
  <dcterms:modified xsi:type="dcterms:W3CDTF">2026-07-20T15:31:00Z</dcterms:modified>
</cp:coreProperties>
</file>